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4A" w:rsidRPr="0072622A" w:rsidRDefault="0085544A" w:rsidP="0072622A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2622A">
        <w:rPr>
          <w:rFonts w:ascii="Book Antiqua" w:hAnsi="Book Antiqua" w:cs="Times New Roman"/>
          <w:b/>
          <w:sz w:val="24"/>
          <w:szCs w:val="24"/>
        </w:rPr>
        <w:t>ОТЧЕТ</w:t>
      </w:r>
    </w:p>
    <w:p w:rsidR="0072622A" w:rsidRDefault="007F4014" w:rsidP="0072622A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2622A">
        <w:rPr>
          <w:rFonts w:ascii="Book Antiqua" w:hAnsi="Book Antiqua" w:cs="Times New Roman"/>
          <w:b/>
          <w:sz w:val="24"/>
          <w:szCs w:val="24"/>
        </w:rPr>
        <w:t xml:space="preserve">генерального директора НП </w:t>
      </w:r>
      <w:r w:rsidR="0085544A" w:rsidRPr="0072622A">
        <w:rPr>
          <w:rFonts w:ascii="Book Antiqua" w:hAnsi="Book Antiqua" w:cs="Times New Roman"/>
          <w:b/>
          <w:sz w:val="24"/>
          <w:szCs w:val="24"/>
        </w:rPr>
        <w:t>СРО «О</w:t>
      </w:r>
      <w:r w:rsidRPr="0072622A">
        <w:rPr>
          <w:rFonts w:ascii="Book Antiqua" w:hAnsi="Book Antiqua" w:cs="Times New Roman"/>
          <w:b/>
          <w:sz w:val="24"/>
          <w:szCs w:val="24"/>
        </w:rPr>
        <w:t>бъединение строителей</w:t>
      </w:r>
      <w:r w:rsidR="0085544A" w:rsidRPr="0072622A">
        <w:rPr>
          <w:rFonts w:ascii="Book Antiqua" w:hAnsi="Book Antiqua" w:cs="Times New Roman"/>
          <w:b/>
          <w:sz w:val="24"/>
          <w:szCs w:val="24"/>
        </w:rPr>
        <w:t xml:space="preserve"> КБР» </w:t>
      </w:r>
    </w:p>
    <w:p w:rsidR="0085544A" w:rsidRPr="0072622A" w:rsidRDefault="0085544A" w:rsidP="0072622A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2622A">
        <w:rPr>
          <w:rFonts w:ascii="Book Antiqua" w:hAnsi="Book Antiqua" w:cs="Times New Roman"/>
          <w:b/>
          <w:sz w:val="24"/>
          <w:szCs w:val="24"/>
        </w:rPr>
        <w:t>Шихалиева Э.А.</w:t>
      </w:r>
    </w:p>
    <w:p w:rsidR="005C706F" w:rsidRPr="0072622A" w:rsidRDefault="0085544A" w:rsidP="0072622A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72622A">
        <w:rPr>
          <w:rFonts w:ascii="Book Antiqua" w:hAnsi="Book Antiqua" w:cs="Times New Roman"/>
          <w:b/>
          <w:sz w:val="24"/>
          <w:szCs w:val="24"/>
        </w:rPr>
        <w:t>общему собранию членов Партнерства о результатах деятельности за 2</w:t>
      </w:r>
      <w:r w:rsidRPr="0072622A">
        <w:rPr>
          <w:rFonts w:ascii="Book Antiqua" w:hAnsi="Book Antiqua" w:cs="Times New Roman"/>
          <w:b/>
          <w:sz w:val="24"/>
          <w:szCs w:val="24"/>
        </w:rPr>
        <w:t>014</w:t>
      </w:r>
      <w:r w:rsidR="007F4014" w:rsidRPr="0072622A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b/>
          <w:sz w:val="24"/>
          <w:szCs w:val="24"/>
        </w:rPr>
        <w:t>год</w:t>
      </w:r>
      <w:r w:rsidR="007F4014" w:rsidRPr="0072622A">
        <w:rPr>
          <w:rFonts w:ascii="Book Antiqua" w:hAnsi="Book Antiqua" w:cs="Times New Roman"/>
          <w:b/>
          <w:sz w:val="24"/>
          <w:szCs w:val="24"/>
        </w:rPr>
        <w:t>.</w:t>
      </w:r>
    </w:p>
    <w:p w:rsidR="0085544A" w:rsidRDefault="0085544A" w:rsidP="0072622A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2622A" w:rsidRDefault="0072622A" w:rsidP="0072622A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2622A" w:rsidRDefault="0072622A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85544A" w:rsidRPr="0072622A" w:rsidRDefault="0085544A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Саморегулируемая организация НП</w:t>
      </w:r>
      <w:r w:rsidRPr="0072622A">
        <w:rPr>
          <w:rFonts w:ascii="Book Antiqua" w:hAnsi="Book Antiqua" w:cs="Times New Roman"/>
          <w:sz w:val="24"/>
          <w:szCs w:val="24"/>
        </w:rPr>
        <w:t xml:space="preserve"> СРО </w:t>
      </w:r>
      <w:r w:rsidRPr="0072622A">
        <w:rPr>
          <w:rFonts w:ascii="Book Antiqua" w:hAnsi="Book Antiqua" w:cs="Times New Roman"/>
          <w:sz w:val="24"/>
          <w:szCs w:val="24"/>
        </w:rPr>
        <w:t>«</w:t>
      </w:r>
      <w:r w:rsidRPr="0072622A">
        <w:rPr>
          <w:rFonts w:ascii="Book Antiqua" w:hAnsi="Book Antiqua" w:cs="Times New Roman"/>
          <w:sz w:val="24"/>
          <w:szCs w:val="24"/>
        </w:rPr>
        <w:t>Объединение строителей КБР</w:t>
      </w:r>
      <w:r w:rsidRPr="0072622A">
        <w:rPr>
          <w:rFonts w:ascii="Book Antiqua" w:hAnsi="Book Antiqua" w:cs="Times New Roman"/>
          <w:sz w:val="24"/>
          <w:szCs w:val="24"/>
        </w:rPr>
        <w:t>» подвела итоги своей деятельности за прошедший го</w:t>
      </w:r>
      <w:r w:rsidRPr="0072622A">
        <w:rPr>
          <w:rFonts w:ascii="Book Antiqua" w:hAnsi="Book Antiqua" w:cs="Times New Roman"/>
          <w:sz w:val="24"/>
          <w:szCs w:val="24"/>
        </w:rPr>
        <w:t>д и вот результаты нашей работы.</w:t>
      </w:r>
    </w:p>
    <w:p w:rsidR="001B415C" w:rsidRPr="0072622A" w:rsidRDefault="001B415C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За отчетный период Партнерство осуществляло деятельность по всем направления Уставной деятельности Партнерства.</w:t>
      </w:r>
    </w:p>
    <w:p w:rsidR="00120C31" w:rsidRPr="0072622A" w:rsidRDefault="00120C31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20C31" w:rsidRPr="0072622A" w:rsidRDefault="00120C31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>О</w:t>
      </w:r>
      <w:r w:rsidR="00D92C00" w:rsidRPr="0072622A">
        <w:rPr>
          <w:rFonts w:ascii="Book Antiqua" w:hAnsi="Book Antiqua" w:cs="Times New Roman"/>
          <w:b/>
          <w:sz w:val="24"/>
          <w:szCs w:val="24"/>
          <w:u w:val="single"/>
        </w:rPr>
        <w:t>б изменении количества</w:t>
      </w: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 xml:space="preserve"> членов</w:t>
      </w:r>
      <w:r w:rsidR="00D92C00" w:rsidRPr="0072622A">
        <w:rPr>
          <w:rFonts w:ascii="Book Antiqua" w:hAnsi="Book Antiqua" w:cs="Times New Roman"/>
          <w:b/>
          <w:sz w:val="24"/>
          <w:szCs w:val="24"/>
          <w:u w:val="single"/>
        </w:rPr>
        <w:t xml:space="preserve"> Партнерства</w:t>
      </w:r>
    </w:p>
    <w:p w:rsidR="001B415C" w:rsidRPr="0072622A" w:rsidRDefault="00120C31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Относительно обеспечения</w:t>
      </w:r>
      <w:r w:rsidR="001B415C" w:rsidRPr="0072622A">
        <w:rPr>
          <w:rFonts w:ascii="Book Antiqua" w:hAnsi="Book Antiqua" w:cs="Times New Roman"/>
          <w:sz w:val="24"/>
          <w:szCs w:val="24"/>
        </w:rPr>
        <w:t xml:space="preserve"> численности членов Партнерства </w:t>
      </w:r>
      <w:r w:rsidRPr="0072622A">
        <w:rPr>
          <w:rFonts w:ascii="Book Antiqua" w:hAnsi="Book Antiqua" w:cs="Times New Roman"/>
          <w:sz w:val="24"/>
          <w:szCs w:val="24"/>
        </w:rPr>
        <w:t>и, одновременно, принятию</w:t>
      </w:r>
      <w:r w:rsidR="001B415C" w:rsidRPr="0072622A">
        <w:rPr>
          <w:rFonts w:ascii="Book Antiqua" w:hAnsi="Book Antiqua" w:cs="Times New Roman"/>
          <w:sz w:val="24"/>
          <w:szCs w:val="24"/>
        </w:rPr>
        <w:t xml:space="preserve"> мер по прекращению деятельности тех членов, которые не выполняли требования, правила, локальные акты Партнерства</w:t>
      </w:r>
      <w:r w:rsidRPr="0072622A">
        <w:rPr>
          <w:rFonts w:ascii="Book Antiqua" w:hAnsi="Book Antiqua" w:cs="Times New Roman"/>
          <w:sz w:val="24"/>
          <w:szCs w:val="24"/>
        </w:rPr>
        <w:t>, сообщаю:</w:t>
      </w:r>
    </w:p>
    <w:p w:rsidR="00120C31" w:rsidRPr="0072622A" w:rsidRDefault="00120C31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72622A">
        <w:rPr>
          <w:rFonts w:ascii="Book Antiqua" w:hAnsi="Book Antiqua" w:cs="Times New Roman"/>
          <w:sz w:val="24"/>
          <w:szCs w:val="24"/>
        </w:rPr>
        <w:t>20 организаций исключены из реестра членов Партнерства</w:t>
      </w:r>
      <w:r w:rsidR="00D92C00" w:rsidRPr="0072622A">
        <w:rPr>
          <w:rFonts w:ascii="Book Antiqua" w:hAnsi="Book Antiqua" w:cs="Times New Roman"/>
          <w:sz w:val="24"/>
          <w:szCs w:val="24"/>
        </w:rPr>
        <w:t xml:space="preserve"> по различным основаниям</w:t>
      </w:r>
      <w:r w:rsidRPr="0072622A">
        <w:rPr>
          <w:rFonts w:ascii="Book Antiqua" w:hAnsi="Book Antiqua" w:cs="Times New Roman"/>
          <w:sz w:val="24"/>
          <w:szCs w:val="24"/>
        </w:rPr>
        <w:t>:</w:t>
      </w:r>
      <w:r w:rsidR="00D92C00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sz w:val="24"/>
          <w:szCs w:val="24"/>
        </w:rPr>
        <w:t>добровольный выход</w:t>
      </w:r>
      <w:r w:rsidR="00D92C00" w:rsidRPr="0072622A">
        <w:rPr>
          <w:rFonts w:ascii="Book Antiqua" w:hAnsi="Book Antiqua" w:cs="Times New Roman"/>
          <w:sz w:val="24"/>
          <w:szCs w:val="24"/>
        </w:rPr>
        <w:t xml:space="preserve"> (4 члена), </w:t>
      </w:r>
      <w:r w:rsidRPr="0072622A">
        <w:rPr>
          <w:rFonts w:ascii="Book Antiqua" w:hAnsi="Book Antiqua" w:cs="Times New Roman"/>
          <w:sz w:val="24"/>
          <w:szCs w:val="24"/>
        </w:rPr>
        <w:t>ликвидация юридического лица - члена саморегулируемой организации</w:t>
      </w:r>
      <w:r w:rsidR="00D92C00" w:rsidRPr="0072622A">
        <w:rPr>
          <w:rFonts w:ascii="Book Antiqua" w:hAnsi="Book Antiqua" w:cs="Times New Roman"/>
          <w:sz w:val="24"/>
          <w:szCs w:val="24"/>
        </w:rPr>
        <w:t xml:space="preserve"> (2 члена),</w:t>
      </w:r>
      <w:r w:rsidRPr="0072622A">
        <w:rPr>
          <w:rFonts w:ascii="Book Antiqua" w:hAnsi="Book Antiqua" w:cs="Times New Roman"/>
          <w:sz w:val="24"/>
          <w:szCs w:val="24"/>
        </w:rPr>
        <w:t xml:space="preserve"> неоднократная неуплата в течение одного года или несвоевременная уплата в течение одного года членских взносов</w:t>
      </w:r>
      <w:r w:rsidR="00D92C00" w:rsidRPr="0072622A">
        <w:rPr>
          <w:rFonts w:ascii="Book Antiqua" w:hAnsi="Book Antiqua" w:cs="Times New Roman"/>
          <w:sz w:val="24"/>
          <w:szCs w:val="24"/>
        </w:rPr>
        <w:t xml:space="preserve"> (11 членов), </w:t>
      </w:r>
      <w:r w:rsidRPr="0072622A">
        <w:rPr>
          <w:rFonts w:ascii="Book Antiqua" w:hAnsi="Book Antiqua" w:cs="Times New Roman"/>
          <w:sz w:val="24"/>
          <w:szCs w:val="24"/>
        </w:rPr>
        <w:t>отсутствие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</w:t>
      </w:r>
      <w:proofErr w:type="gramEnd"/>
      <w:r w:rsidRPr="0072622A">
        <w:rPr>
          <w:rFonts w:ascii="Book Antiqua" w:hAnsi="Book Antiqua" w:cs="Times New Roman"/>
          <w:sz w:val="24"/>
          <w:szCs w:val="24"/>
        </w:rPr>
        <w:t xml:space="preserve"> объектов капитального строительства</w:t>
      </w:r>
      <w:r w:rsidR="00D92C00" w:rsidRPr="0072622A">
        <w:rPr>
          <w:rFonts w:ascii="Book Antiqua" w:hAnsi="Book Antiqua" w:cs="Times New Roman"/>
          <w:sz w:val="24"/>
          <w:szCs w:val="24"/>
        </w:rPr>
        <w:t xml:space="preserve"> (3 члена).</w:t>
      </w:r>
    </w:p>
    <w:p w:rsidR="00D92C00" w:rsidRPr="0072622A" w:rsidRDefault="00120C31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В члены Партнерства приняты 6 юридических лиц с выдачей соответствующих Свидетельств о допуске к работам, которые оказывают влияние на безопасность объе</w:t>
      </w:r>
      <w:r w:rsidR="00D92C00" w:rsidRPr="0072622A">
        <w:rPr>
          <w:rFonts w:ascii="Book Antiqua" w:hAnsi="Book Antiqua" w:cs="Times New Roman"/>
          <w:sz w:val="24"/>
          <w:szCs w:val="24"/>
        </w:rPr>
        <w:t>ктов капитального строительства.</w:t>
      </w:r>
    </w:p>
    <w:p w:rsidR="00120C31" w:rsidRPr="0072622A" w:rsidRDefault="00D92C00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 xml:space="preserve"> </w:t>
      </w:r>
    </w:p>
    <w:p w:rsidR="00120C31" w:rsidRPr="0072622A" w:rsidRDefault="00120C31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Итоговая таблица о количестве членов Партнерства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30"/>
        <w:gridCol w:w="2677"/>
        <w:gridCol w:w="2071"/>
        <w:gridCol w:w="2593"/>
      </w:tblGrid>
      <w:tr w:rsidR="001B415C" w:rsidRPr="0072622A" w:rsidTr="0073710B">
        <w:tc>
          <w:tcPr>
            <w:tcW w:w="9571" w:type="dxa"/>
            <w:gridSpan w:val="4"/>
          </w:tcPr>
          <w:p w:rsidR="001B415C" w:rsidRPr="0072622A" w:rsidRDefault="001B415C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Количество членов Партнерства</w:t>
            </w:r>
          </w:p>
        </w:tc>
      </w:tr>
      <w:tr w:rsidR="001B415C" w:rsidRPr="0072622A" w:rsidTr="001B415C">
        <w:tc>
          <w:tcPr>
            <w:tcW w:w="2230" w:type="dxa"/>
          </w:tcPr>
          <w:p w:rsidR="001B415C" w:rsidRPr="0072622A" w:rsidRDefault="001B415C" w:rsidP="0072622A">
            <w:pPr>
              <w:ind w:firstLine="70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По состоянию на 01.01.201</w:t>
            </w: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4</w:t>
            </w: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677" w:type="dxa"/>
          </w:tcPr>
          <w:p w:rsidR="001B415C" w:rsidRPr="0072622A" w:rsidRDefault="001B415C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По состоянию на 31.12.2014 года</w:t>
            </w:r>
          </w:p>
        </w:tc>
        <w:tc>
          <w:tcPr>
            <w:tcW w:w="2071" w:type="dxa"/>
          </w:tcPr>
          <w:p w:rsidR="001B415C" w:rsidRPr="0072622A" w:rsidRDefault="001B415C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Принято за 2014 год</w:t>
            </w:r>
          </w:p>
        </w:tc>
        <w:tc>
          <w:tcPr>
            <w:tcW w:w="2593" w:type="dxa"/>
          </w:tcPr>
          <w:p w:rsidR="001B415C" w:rsidRPr="0072622A" w:rsidRDefault="001B415C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proofErr w:type="gramStart"/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Исключенные</w:t>
            </w:r>
            <w:proofErr w:type="gramEnd"/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 xml:space="preserve"> за 2014 год</w:t>
            </w:r>
          </w:p>
        </w:tc>
      </w:tr>
      <w:tr w:rsidR="001B415C" w:rsidRPr="0072622A" w:rsidTr="001B415C">
        <w:tc>
          <w:tcPr>
            <w:tcW w:w="2230" w:type="dxa"/>
          </w:tcPr>
          <w:p w:rsidR="001B415C" w:rsidRPr="0072622A" w:rsidRDefault="00DD025B" w:rsidP="0072622A">
            <w:pPr>
              <w:ind w:firstLine="70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2622A">
              <w:rPr>
                <w:rFonts w:ascii="Book Antiqua" w:hAnsi="Book Antiqua"/>
                <w:sz w:val="24"/>
                <w:szCs w:val="24"/>
              </w:rPr>
              <w:t>196</w:t>
            </w:r>
          </w:p>
        </w:tc>
        <w:tc>
          <w:tcPr>
            <w:tcW w:w="2677" w:type="dxa"/>
          </w:tcPr>
          <w:p w:rsidR="001B415C" w:rsidRPr="0072622A" w:rsidRDefault="00DD025B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071" w:type="dxa"/>
          </w:tcPr>
          <w:p w:rsidR="001B415C" w:rsidRPr="0072622A" w:rsidRDefault="00120C31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93" w:type="dxa"/>
          </w:tcPr>
          <w:p w:rsidR="001B415C" w:rsidRPr="0072622A" w:rsidRDefault="00120C31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20</w:t>
            </w:r>
          </w:p>
        </w:tc>
      </w:tr>
    </w:tbl>
    <w:p w:rsidR="001B415C" w:rsidRPr="0072622A" w:rsidRDefault="001B415C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120C31" w:rsidRPr="0072622A" w:rsidRDefault="00120C31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Партнерством также было р</w:t>
      </w:r>
      <w:r w:rsidRPr="0072622A">
        <w:rPr>
          <w:rFonts w:ascii="Book Antiqua" w:hAnsi="Book Antiqua" w:cs="Times New Roman"/>
          <w:sz w:val="24"/>
          <w:szCs w:val="24"/>
        </w:rPr>
        <w:t>ассмотрено 30 заявлени</w:t>
      </w:r>
      <w:r w:rsidRPr="0072622A">
        <w:rPr>
          <w:rFonts w:ascii="Book Antiqua" w:hAnsi="Book Antiqua" w:cs="Times New Roman"/>
          <w:sz w:val="24"/>
          <w:szCs w:val="24"/>
        </w:rPr>
        <w:t>й</w:t>
      </w:r>
      <w:r w:rsidRPr="0072622A">
        <w:rPr>
          <w:rFonts w:ascii="Book Antiqua" w:hAnsi="Book Antiqua" w:cs="Times New Roman"/>
          <w:sz w:val="24"/>
          <w:szCs w:val="24"/>
        </w:rPr>
        <w:t xml:space="preserve"> о внесении изменений в свидетельства о допуске</w:t>
      </w:r>
      <w:r w:rsidRPr="0072622A">
        <w:rPr>
          <w:rFonts w:ascii="Book Antiqua" w:hAnsi="Book Antiqua" w:cs="Times New Roman"/>
          <w:sz w:val="24"/>
          <w:szCs w:val="24"/>
        </w:rPr>
        <w:t>. В том числе заявления о замене устаревших бланков, заявления о внесении изменений в перечни видов работ, о внесении изменений в данные о членах (смена адреса, смена руководителя)</w:t>
      </w:r>
      <w:r w:rsidR="00D92C00" w:rsidRPr="0072622A">
        <w:rPr>
          <w:rFonts w:ascii="Book Antiqua" w:hAnsi="Book Antiqua" w:cs="Times New Roman"/>
          <w:sz w:val="24"/>
          <w:szCs w:val="24"/>
        </w:rPr>
        <w:t>.</w:t>
      </w:r>
    </w:p>
    <w:p w:rsidR="00BB2A78" w:rsidRPr="0072622A" w:rsidRDefault="00BB2A78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u w:val="single"/>
        </w:rPr>
      </w:pPr>
    </w:p>
    <w:p w:rsidR="00120C31" w:rsidRPr="0072622A" w:rsidRDefault="00120C31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>Основные изменения в законодательстве</w:t>
      </w:r>
      <w:r w:rsidR="0072622A">
        <w:rPr>
          <w:rFonts w:ascii="Book Antiqua" w:hAnsi="Book Antiqua" w:cs="Times New Roman"/>
          <w:b/>
          <w:sz w:val="24"/>
          <w:szCs w:val="24"/>
          <w:u w:val="single"/>
        </w:rPr>
        <w:t xml:space="preserve"> о СРО</w:t>
      </w:r>
    </w:p>
    <w:p w:rsidR="00BB2A78" w:rsidRPr="0072622A" w:rsidRDefault="00D92C00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Федеральным</w:t>
      </w:r>
      <w:r w:rsidRPr="0072622A">
        <w:rPr>
          <w:rFonts w:ascii="Book Antiqua" w:hAnsi="Book Antiqua" w:cs="Times New Roman"/>
          <w:sz w:val="24"/>
          <w:szCs w:val="24"/>
        </w:rPr>
        <w:t xml:space="preserve"> закон</w:t>
      </w:r>
      <w:r w:rsidRPr="0072622A">
        <w:rPr>
          <w:rFonts w:ascii="Book Antiqua" w:hAnsi="Book Antiqua" w:cs="Times New Roman"/>
          <w:sz w:val="24"/>
          <w:szCs w:val="24"/>
        </w:rPr>
        <w:t>ом от 24 ноября 2014 г. N 359-ФЗ «</w:t>
      </w:r>
      <w:r w:rsidRPr="0072622A">
        <w:rPr>
          <w:rFonts w:ascii="Book Antiqua" w:hAnsi="Book Antiqua" w:cs="Times New Roman"/>
          <w:sz w:val="24"/>
          <w:szCs w:val="24"/>
        </w:rPr>
        <w:t>О внесении изменений в Градостроительный кодекс Российской Федерации и статью 1 Федерального закона "О саморегулируемых организациях</w:t>
      </w:r>
      <w:r w:rsidRPr="0072622A">
        <w:rPr>
          <w:rFonts w:ascii="Book Antiqua" w:hAnsi="Book Antiqua" w:cs="Times New Roman"/>
          <w:sz w:val="24"/>
          <w:szCs w:val="24"/>
        </w:rPr>
        <w:t>» были с</w:t>
      </w:r>
      <w:r w:rsidR="00120C31" w:rsidRPr="0072622A">
        <w:rPr>
          <w:rFonts w:ascii="Book Antiqua" w:hAnsi="Book Antiqua" w:cs="Times New Roman"/>
          <w:sz w:val="24"/>
          <w:szCs w:val="24"/>
        </w:rPr>
        <w:t>корректированы Градостроительный кодекс РФ и Закон о СРО.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120C31" w:rsidRPr="0072622A">
        <w:rPr>
          <w:rFonts w:ascii="Book Antiqua" w:hAnsi="Book Antiqua" w:cs="Times New Roman"/>
          <w:sz w:val="24"/>
          <w:szCs w:val="24"/>
        </w:rPr>
        <w:t xml:space="preserve">В частности, уточнен статус СРО в области инженерных изысканий, архитектурно-строительного проектирования, строительства, реконструкции, капремонта </w:t>
      </w:r>
      <w:r w:rsidR="00120C31" w:rsidRPr="0072622A">
        <w:rPr>
          <w:rFonts w:ascii="Book Antiqua" w:hAnsi="Book Antiqua" w:cs="Times New Roman"/>
          <w:sz w:val="24"/>
          <w:szCs w:val="24"/>
        </w:rPr>
        <w:lastRenderedPageBreak/>
        <w:t>объектов капстроительства. Они могут создаваться в форме ассоциации (союза).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120C31" w:rsidRPr="0072622A">
        <w:rPr>
          <w:rFonts w:ascii="Book Antiqua" w:hAnsi="Book Antiqua" w:cs="Times New Roman"/>
          <w:sz w:val="24"/>
          <w:szCs w:val="24"/>
        </w:rPr>
        <w:t>Закреплены положения о ведении реестра СРО, имеющих право выдавать свидетельства о допуске к работам, которые оказывают влияние на безопасность объектов капстроительства. До внесения изменений речь шла о реестре СРО (без указанного уточнения).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120C31" w:rsidRPr="0072622A">
        <w:rPr>
          <w:rFonts w:ascii="Book Antiqua" w:hAnsi="Book Antiqua" w:cs="Times New Roman"/>
          <w:sz w:val="24"/>
          <w:szCs w:val="24"/>
        </w:rPr>
        <w:t>Для внесения сведений в реестр документы теперь нужно будет подавать не в орган надзора за СРО, а в Национальное объединение СРО. Определены полномочия его президента.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120C31" w:rsidRPr="0072622A">
        <w:rPr>
          <w:rFonts w:ascii="Book Antiqua" w:hAnsi="Book Antiqua" w:cs="Times New Roman"/>
          <w:sz w:val="24"/>
          <w:szCs w:val="24"/>
        </w:rPr>
        <w:t>Установлено, что в отношении каждого лица, принятого в СРО, она должна будет вести дело. Документы будут постоянно храниться в соответствующей организации.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120C31" w:rsidRPr="0072622A">
        <w:rPr>
          <w:rFonts w:ascii="Book Antiqua" w:hAnsi="Book Antiqua" w:cs="Times New Roman"/>
          <w:sz w:val="24"/>
          <w:szCs w:val="24"/>
        </w:rPr>
        <w:t>Закреплены дополнительные правила по вопросу исключения СРО из реестра. В частности, предусмотрено, что действие выданных участникам свидетельств о допуске к работам, которые оказывают влияние на безопасность объектов кап</w:t>
      </w:r>
      <w:r w:rsidRPr="0072622A">
        <w:rPr>
          <w:rFonts w:ascii="Book Antiqua" w:hAnsi="Book Antiqua" w:cs="Times New Roman"/>
          <w:sz w:val="24"/>
          <w:szCs w:val="24"/>
        </w:rPr>
        <w:t xml:space="preserve">итального </w:t>
      </w:r>
      <w:r w:rsidR="00120C31" w:rsidRPr="0072622A">
        <w:rPr>
          <w:rFonts w:ascii="Book Antiqua" w:hAnsi="Book Antiqua" w:cs="Times New Roman"/>
          <w:sz w:val="24"/>
          <w:szCs w:val="24"/>
        </w:rPr>
        <w:t xml:space="preserve">строительства, прекращается со дня исключения. </w:t>
      </w:r>
      <w:proofErr w:type="gramStart"/>
      <w:r w:rsidR="00120C31" w:rsidRPr="0072622A">
        <w:rPr>
          <w:rFonts w:ascii="Book Antiqua" w:hAnsi="Book Antiqua" w:cs="Times New Roman"/>
          <w:sz w:val="24"/>
          <w:szCs w:val="24"/>
        </w:rPr>
        <w:t>При этом они не вправе принимать на себя новые обязательства по выполнению работ до принятия в члены другой СРО.</w:t>
      </w:r>
      <w:proofErr w:type="gramEnd"/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120C31" w:rsidRPr="0072622A">
        <w:rPr>
          <w:rFonts w:ascii="Book Antiqua" w:hAnsi="Book Antiqua" w:cs="Times New Roman"/>
          <w:sz w:val="24"/>
          <w:szCs w:val="24"/>
        </w:rPr>
        <w:t>Указаны случаи, когда можно обратиться в суд с требованием об исключении сведений из реестра.</w:t>
      </w:r>
    </w:p>
    <w:p w:rsidR="00DD025B" w:rsidRPr="0072622A" w:rsidRDefault="00DD025B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СРО обязали быть более открытыми</w:t>
      </w:r>
      <w:r w:rsidR="003C503F" w:rsidRPr="0072622A">
        <w:rPr>
          <w:rFonts w:ascii="Book Antiqua" w:hAnsi="Book Antiqua" w:cs="Times New Roman"/>
          <w:sz w:val="24"/>
          <w:szCs w:val="24"/>
        </w:rPr>
        <w:t xml:space="preserve">. </w:t>
      </w:r>
      <w:r w:rsidR="00A63C4B" w:rsidRPr="0072622A">
        <w:rPr>
          <w:rFonts w:ascii="Book Antiqua" w:hAnsi="Book Antiqua" w:cs="Times New Roman"/>
          <w:sz w:val="24"/>
          <w:szCs w:val="24"/>
        </w:rPr>
        <w:t>Вступил в силу подписанный</w:t>
      </w:r>
      <w:r w:rsidR="003C503F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sz w:val="24"/>
          <w:szCs w:val="24"/>
        </w:rPr>
        <w:t>Президент</w:t>
      </w:r>
      <w:r w:rsidR="00A63C4B" w:rsidRPr="0072622A">
        <w:rPr>
          <w:rFonts w:ascii="Book Antiqua" w:hAnsi="Book Antiqua" w:cs="Times New Roman"/>
          <w:sz w:val="24"/>
          <w:szCs w:val="24"/>
        </w:rPr>
        <w:t>ом</w:t>
      </w:r>
      <w:r w:rsidRPr="0072622A">
        <w:rPr>
          <w:rFonts w:ascii="Book Antiqua" w:hAnsi="Book Antiqua" w:cs="Times New Roman"/>
          <w:sz w:val="24"/>
          <w:szCs w:val="24"/>
        </w:rPr>
        <w:t xml:space="preserve"> РФ Федераль</w:t>
      </w:r>
      <w:r w:rsidR="003C503F" w:rsidRPr="0072622A">
        <w:rPr>
          <w:rFonts w:ascii="Book Antiqua" w:hAnsi="Book Antiqua" w:cs="Times New Roman"/>
          <w:sz w:val="24"/>
          <w:szCs w:val="24"/>
        </w:rPr>
        <w:t>ный закон от 07.06.13 N 113-ФЗ «</w:t>
      </w:r>
      <w:r w:rsidRPr="0072622A">
        <w:rPr>
          <w:rFonts w:ascii="Book Antiqua" w:hAnsi="Book Antiqua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обеспечения информационной открытос</w:t>
      </w:r>
      <w:r w:rsidR="003C503F" w:rsidRPr="0072622A">
        <w:rPr>
          <w:rFonts w:ascii="Book Antiqua" w:hAnsi="Book Antiqua" w:cs="Times New Roman"/>
          <w:sz w:val="24"/>
          <w:szCs w:val="24"/>
        </w:rPr>
        <w:t>ти саморегулируемых организаций».</w:t>
      </w:r>
      <w:r w:rsidRPr="0072622A">
        <w:rPr>
          <w:rFonts w:ascii="Book Antiqua" w:hAnsi="Book Antiqua" w:cs="Times New Roman"/>
          <w:sz w:val="24"/>
          <w:szCs w:val="24"/>
        </w:rPr>
        <w:t xml:space="preserve"> По сути, согласно принятому закону, бизнес, действующий на основе института саморегулирования, становится не только более открытым, но и более ответственным за свою информационную прозрачность перед обществом.</w:t>
      </w:r>
      <w:r w:rsidR="00585825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3C503F" w:rsidRPr="0072622A">
        <w:rPr>
          <w:rFonts w:ascii="Book Antiqua" w:hAnsi="Book Antiqua" w:cs="Times New Roman"/>
          <w:sz w:val="24"/>
          <w:szCs w:val="24"/>
        </w:rPr>
        <w:t>Единственным форматом такого раскрытия информации определено обязательное наличие сайта в сети интернет. Работники Партнерства провели масштабную работу по обновлению официального сайта</w:t>
      </w:r>
      <w:r w:rsidR="00A63C4B" w:rsidRPr="0072622A">
        <w:rPr>
          <w:rFonts w:ascii="Book Antiqua" w:hAnsi="Book Antiqua" w:cs="Times New Roman"/>
          <w:sz w:val="24"/>
          <w:szCs w:val="24"/>
        </w:rPr>
        <w:t>,</w:t>
      </w:r>
      <w:r w:rsidR="003C503F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A63C4B" w:rsidRPr="0072622A">
        <w:rPr>
          <w:rFonts w:ascii="Book Antiqua" w:hAnsi="Book Antiqua" w:cs="Times New Roman"/>
          <w:sz w:val="24"/>
          <w:szCs w:val="24"/>
        </w:rPr>
        <w:t>наполнили его большим</w:t>
      </w:r>
      <w:r w:rsidR="00A63C4B" w:rsidRPr="0072622A">
        <w:rPr>
          <w:rFonts w:ascii="Book Antiqua" w:hAnsi="Book Antiqua" w:cs="Times New Roman"/>
          <w:sz w:val="24"/>
          <w:szCs w:val="24"/>
        </w:rPr>
        <w:t xml:space="preserve"> объемом необходимой информации </w:t>
      </w:r>
      <w:r w:rsidR="003C503F" w:rsidRPr="0072622A">
        <w:rPr>
          <w:rFonts w:ascii="Book Antiqua" w:hAnsi="Book Antiqua" w:cs="Times New Roman"/>
          <w:sz w:val="24"/>
          <w:szCs w:val="24"/>
        </w:rPr>
        <w:t>совместными усилиями с новой</w:t>
      </w:r>
      <w:r w:rsidR="00A63C4B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A63C4B" w:rsidRPr="0072622A">
        <w:rPr>
          <w:rFonts w:ascii="Book Antiqua" w:hAnsi="Book Antiqua" w:cs="Times New Roman"/>
          <w:sz w:val="24"/>
          <w:szCs w:val="24"/>
        </w:rPr>
        <w:t>компанией</w:t>
      </w:r>
      <w:r w:rsidR="00A63C4B" w:rsidRPr="0072622A">
        <w:rPr>
          <w:rFonts w:ascii="Book Antiqua" w:hAnsi="Book Antiqua" w:cs="Times New Roman"/>
          <w:sz w:val="24"/>
          <w:szCs w:val="24"/>
        </w:rPr>
        <w:t>,</w:t>
      </w:r>
      <w:r w:rsidR="003C503F" w:rsidRPr="0072622A">
        <w:rPr>
          <w:rFonts w:ascii="Book Antiqua" w:hAnsi="Book Antiqua" w:cs="Times New Roman"/>
          <w:sz w:val="24"/>
          <w:szCs w:val="24"/>
        </w:rPr>
        <w:t xml:space="preserve"> обслуживающей наш сайт</w:t>
      </w:r>
      <w:r w:rsidR="00A63C4B" w:rsidRPr="0072622A">
        <w:rPr>
          <w:rFonts w:ascii="Book Antiqua" w:hAnsi="Book Antiqua" w:cs="Times New Roman"/>
          <w:sz w:val="24"/>
          <w:szCs w:val="24"/>
        </w:rPr>
        <w:t>.</w:t>
      </w:r>
      <w:r w:rsidR="003C503F" w:rsidRPr="0072622A">
        <w:rPr>
          <w:rFonts w:ascii="Book Antiqua" w:hAnsi="Book Antiqua" w:cs="Times New Roman"/>
          <w:sz w:val="24"/>
          <w:szCs w:val="24"/>
        </w:rPr>
        <w:t xml:space="preserve"> </w:t>
      </w:r>
    </w:p>
    <w:p w:rsidR="00DD025B" w:rsidRPr="0072622A" w:rsidRDefault="00DD025B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A63C4B" w:rsidRPr="0072622A" w:rsidRDefault="00A63C4B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 xml:space="preserve">О </w:t>
      </w:r>
      <w:r w:rsidR="00FA27AF" w:rsidRPr="0072622A">
        <w:rPr>
          <w:rFonts w:ascii="Book Antiqua" w:hAnsi="Book Antiqua" w:cs="Times New Roman"/>
          <w:b/>
          <w:sz w:val="24"/>
          <w:szCs w:val="24"/>
          <w:u w:val="single"/>
        </w:rPr>
        <w:t>контрольно-</w:t>
      </w:r>
      <w:r w:rsidR="00B84B28" w:rsidRPr="0072622A">
        <w:rPr>
          <w:rFonts w:ascii="Book Antiqua" w:hAnsi="Book Antiqua" w:cs="Times New Roman"/>
          <w:b/>
          <w:sz w:val="24"/>
          <w:szCs w:val="24"/>
          <w:u w:val="single"/>
        </w:rPr>
        <w:t>проверочных мероприятиях</w:t>
      </w:r>
    </w:p>
    <w:p w:rsidR="003F198D" w:rsidRPr="0072622A" w:rsidRDefault="00A63C4B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 xml:space="preserve">Одним из направлений работы являлось проведение контрольных мероприятий и осуществление текущего контроля (мониторинга) деятельности членов Партнерства. </w:t>
      </w:r>
    </w:p>
    <w:p w:rsidR="00A63C4B" w:rsidRPr="0072622A" w:rsidRDefault="00A63C4B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За истекший период было проведено проверок:</w:t>
      </w:r>
    </w:p>
    <w:tbl>
      <w:tblPr>
        <w:tblStyle w:val="a3"/>
        <w:tblW w:w="7466" w:type="dxa"/>
        <w:jc w:val="center"/>
        <w:tblLook w:val="01E0" w:firstRow="1" w:lastRow="1" w:firstColumn="1" w:lastColumn="1" w:noHBand="0" w:noVBand="0"/>
      </w:tblPr>
      <w:tblGrid>
        <w:gridCol w:w="2141"/>
        <w:gridCol w:w="3263"/>
        <w:gridCol w:w="2062"/>
      </w:tblGrid>
      <w:tr w:rsidR="00A63C4B" w:rsidRPr="0072622A" w:rsidTr="007F4014">
        <w:trPr>
          <w:jc w:val="center"/>
        </w:trPr>
        <w:tc>
          <w:tcPr>
            <w:tcW w:w="5404" w:type="dxa"/>
            <w:gridSpan w:val="2"/>
          </w:tcPr>
          <w:p w:rsidR="00A63C4B" w:rsidRPr="0072622A" w:rsidRDefault="00A63C4B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062" w:type="dxa"/>
          </w:tcPr>
          <w:p w:rsidR="00A63C4B" w:rsidRPr="0072622A" w:rsidRDefault="00A63C4B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170</w:t>
            </w:r>
          </w:p>
        </w:tc>
      </w:tr>
      <w:tr w:rsidR="00A63C4B" w:rsidRPr="0072622A" w:rsidTr="007F4014">
        <w:trPr>
          <w:jc w:val="center"/>
        </w:trPr>
        <w:tc>
          <w:tcPr>
            <w:tcW w:w="2141" w:type="dxa"/>
          </w:tcPr>
          <w:p w:rsidR="00A63C4B" w:rsidRPr="0072622A" w:rsidRDefault="00A63C4B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3263" w:type="dxa"/>
          </w:tcPr>
          <w:p w:rsidR="00A63C4B" w:rsidRPr="0072622A" w:rsidRDefault="00A63C4B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выездных</w:t>
            </w:r>
          </w:p>
        </w:tc>
        <w:tc>
          <w:tcPr>
            <w:tcW w:w="2062" w:type="dxa"/>
          </w:tcPr>
          <w:p w:rsidR="00A63C4B" w:rsidRPr="0072622A" w:rsidRDefault="00A63C4B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143</w:t>
            </w:r>
          </w:p>
        </w:tc>
      </w:tr>
      <w:tr w:rsidR="00A63C4B" w:rsidRPr="0072622A" w:rsidTr="007F4014">
        <w:trPr>
          <w:jc w:val="center"/>
        </w:trPr>
        <w:tc>
          <w:tcPr>
            <w:tcW w:w="2141" w:type="dxa"/>
          </w:tcPr>
          <w:p w:rsidR="00A63C4B" w:rsidRPr="0072622A" w:rsidRDefault="00A63C4B" w:rsidP="0072622A">
            <w:pPr>
              <w:ind w:firstLine="709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63" w:type="dxa"/>
          </w:tcPr>
          <w:p w:rsidR="00A63C4B" w:rsidRPr="0072622A" w:rsidRDefault="007F4014" w:rsidP="0072622A">
            <w:pPr>
              <w:ind w:firstLine="70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2622A">
              <w:rPr>
                <w:rFonts w:ascii="Book Antiqua" w:hAnsi="Book Antiqua"/>
                <w:sz w:val="24"/>
                <w:szCs w:val="24"/>
              </w:rPr>
              <w:t>в форме запросов</w:t>
            </w:r>
          </w:p>
        </w:tc>
        <w:tc>
          <w:tcPr>
            <w:tcW w:w="2062" w:type="dxa"/>
          </w:tcPr>
          <w:p w:rsidR="00A63C4B" w:rsidRPr="0072622A" w:rsidRDefault="00A63C4B" w:rsidP="0072622A">
            <w:pPr>
              <w:ind w:firstLine="70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2622A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</w:tr>
      <w:tr w:rsidR="00A63C4B" w:rsidRPr="0072622A" w:rsidTr="007F4014">
        <w:trPr>
          <w:jc w:val="center"/>
        </w:trPr>
        <w:tc>
          <w:tcPr>
            <w:tcW w:w="2141" w:type="dxa"/>
          </w:tcPr>
          <w:p w:rsidR="00A63C4B" w:rsidRPr="0072622A" w:rsidRDefault="00A63C4B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A63C4B" w:rsidRPr="0072622A" w:rsidRDefault="00A63C4B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внеплановых</w:t>
            </w:r>
          </w:p>
        </w:tc>
        <w:tc>
          <w:tcPr>
            <w:tcW w:w="2062" w:type="dxa"/>
          </w:tcPr>
          <w:p w:rsidR="00A63C4B" w:rsidRPr="0072622A" w:rsidRDefault="00A63C4B" w:rsidP="0072622A">
            <w:pPr>
              <w:ind w:firstLine="709"/>
              <w:jc w:val="both"/>
              <w:rPr>
                <w:rFonts w:ascii="Book Antiqua" w:eastAsiaTheme="minorHAnsi" w:hAnsi="Book Antiqua"/>
                <w:sz w:val="24"/>
                <w:szCs w:val="24"/>
                <w:lang w:eastAsia="en-US"/>
              </w:rPr>
            </w:pPr>
            <w:r w:rsidRPr="0072622A">
              <w:rPr>
                <w:rFonts w:ascii="Book Antiqua" w:eastAsiaTheme="minorHAnsi" w:hAnsi="Book Antiqua"/>
                <w:sz w:val="24"/>
                <w:szCs w:val="24"/>
                <w:lang w:eastAsia="en-US"/>
              </w:rPr>
              <w:t>7</w:t>
            </w:r>
          </w:p>
        </w:tc>
      </w:tr>
    </w:tbl>
    <w:p w:rsidR="003F198D" w:rsidRPr="0072622A" w:rsidRDefault="003F198D" w:rsidP="0072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3F198D" w:rsidRPr="0072622A" w:rsidRDefault="003F198D" w:rsidP="0072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proofErr w:type="gramStart"/>
      <w:r w:rsidRPr="0072622A">
        <w:rPr>
          <w:rFonts w:ascii="Book Antiqua" w:hAnsi="Book Antiqua" w:cs="Times New Roman"/>
          <w:sz w:val="24"/>
          <w:szCs w:val="24"/>
        </w:rPr>
        <w:t xml:space="preserve">По результатам проверок </w:t>
      </w:r>
      <w:r w:rsidRPr="0072622A">
        <w:rPr>
          <w:rFonts w:ascii="Book Antiqua" w:hAnsi="Book Antiqua" w:cs="Times New Roman"/>
          <w:sz w:val="24"/>
          <w:szCs w:val="24"/>
        </w:rPr>
        <w:t xml:space="preserve">на предмет соответствия </w:t>
      </w:r>
      <w:r w:rsidRPr="0072622A">
        <w:rPr>
          <w:rFonts w:ascii="Book Antiqua" w:hAnsi="Book Antiqua" w:cs="Times New Roman"/>
          <w:sz w:val="24"/>
          <w:szCs w:val="24"/>
        </w:rPr>
        <w:t>членов Партнерства т</w:t>
      </w:r>
      <w:r w:rsidRPr="0072622A">
        <w:rPr>
          <w:rFonts w:ascii="Book Antiqua" w:hAnsi="Book Antiqua" w:cs="Times New Roman"/>
          <w:sz w:val="24"/>
          <w:szCs w:val="24"/>
        </w:rPr>
        <w:t>ребованиям к выдаче свидетельств о допуске к работам</w:t>
      </w:r>
      <w:proofErr w:type="gramEnd"/>
      <w:r w:rsidRPr="0072622A">
        <w:rPr>
          <w:rFonts w:ascii="Book Antiqua" w:hAnsi="Book Antiqua" w:cs="Times New Roman"/>
          <w:sz w:val="24"/>
          <w:szCs w:val="24"/>
        </w:rPr>
        <w:t xml:space="preserve"> и стандартов </w:t>
      </w:r>
      <w:r w:rsidRPr="0072622A">
        <w:rPr>
          <w:rFonts w:ascii="Book Antiqua" w:hAnsi="Book Antiqua" w:cs="Times New Roman"/>
          <w:sz w:val="24"/>
          <w:szCs w:val="24"/>
        </w:rPr>
        <w:t>П</w:t>
      </w:r>
      <w:r w:rsidRPr="0072622A">
        <w:rPr>
          <w:rFonts w:ascii="Book Antiqua" w:hAnsi="Book Antiqua" w:cs="Times New Roman"/>
          <w:sz w:val="24"/>
          <w:szCs w:val="24"/>
        </w:rPr>
        <w:t xml:space="preserve">артнерства, </w:t>
      </w:r>
      <w:r w:rsidRPr="0072622A">
        <w:rPr>
          <w:rFonts w:ascii="Book Antiqua" w:hAnsi="Book Antiqua" w:cs="Times New Roman"/>
          <w:sz w:val="24"/>
          <w:szCs w:val="24"/>
        </w:rPr>
        <w:t xml:space="preserve">мы делаем выводы, </w:t>
      </w:r>
      <w:r w:rsidRPr="0072622A">
        <w:rPr>
          <w:rFonts w:ascii="Book Antiqua" w:hAnsi="Book Antiqua" w:cs="Times New Roman"/>
          <w:sz w:val="24"/>
          <w:szCs w:val="24"/>
        </w:rPr>
        <w:t xml:space="preserve">что не </w:t>
      </w:r>
      <w:r w:rsidRPr="0072622A">
        <w:rPr>
          <w:rFonts w:ascii="Book Antiqua" w:hAnsi="Book Antiqua" w:cs="Times New Roman"/>
          <w:sz w:val="24"/>
          <w:szCs w:val="24"/>
        </w:rPr>
        <w:t>всеми членами они соблюдаются. Среди о</w:t>
      </w:r>
      <w:r w:rsidR="0072622A">
        <w:rPr>
          <w:rFonts w:ascii="Book Antiqua" w:hAnsi="Book Antiqua" w:cs="Times New Roman"/>
          <w:sz w:val="24"/>
          <w:szCs w:val="24"/>
        </w:rPr>
        <w:t>сновных</w:t>
      </w:r>
      <w:r w:rsidRPr="0072622A">
        <w:rPr>
          <w:rFonts w:ascii="Book Antiqua" w:hAnsi="Book Antiqua" w:cs="Times New Roman"/>
          <w:sz w:val="24"/>
          <w:szCs w:val="24"/>
        </w:rPr>
        <w:t xml:space="preserve"> нарушений:</w:t>
      </w:r>
      <w:r w:rsidRPr="0072622A">
        <w:rPr>
          <w:rFonts w:ascii="Book Antiqua" w:hAnsi="Book Antiqua" w:cs="Times New Roman"/>
          <w:sz w:val="24"/>
          <w:szCs w:val="24"/>
        </w:rPr>
        <w:t xml:space="preserve"> отсутствие квалифицированных специалистов, прошедших повышение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sz w:val="24"/>
          <w:szCs w:val="24"/>
        </w:rPr>
        <w:t xml:space="preserve">квалификации </w:t>
      </w:r>
      <w:r w:rsidRPr="0072622A">
        <w:rPr>
          <w:rFonts w:ascii="Book Antiqua" w:hAnsi="Book Antiqua" w:cs="Times New Roman"/>
          <w:sz w:val="24"/>
          <w:szCs w:val="24"/>
        </w:rPr>
        <w:t xml:space="preserve">и </w:t>
      </w:r>
      <w:proofErr w:type="gramStart"/>
      <w:r w:rsidRPr="0072622A">
        <w:rPr>
          <w:rFonts w:ascii="Book Antiqua" w:hAnsi="Book Antiqua" w:cs="Times New Roman"/>
          <w:sz w:val="24"/>
          <w:szCs w:val="24"/>
        </w:rPr>
        <w:t>аттестацию</w:t>
      </w:r>
      <w:proofErr w:type="gramEnd"/>
      <w:r w:rsidRPr="0072622A">
        <w:rPr>
          <w:rFonts w:ascii="Book Antiqua" w:hAnsi="Book Antiqua" w:cs="Times New Roman"/>
          <w:sz w:val="24"/>
          <w:szCs w:val="24"/>
        </w:rPr>
        <w:t xml:space="preserve"> и отсутствие действующих договоров страхования гражданской ответственности.</w:t>
      </w:r>
    </w:p>
    <w:p w:rsidR="003F198D" w:rsidRPr="0072622A" w:rsidRDefault="003F198D" w:rsidP="0072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В Партнерстве ведется сводный реестр заключенных договоров страхования</w:t>
      </w:r>
      <w:r w:rsidR="00FA27AF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sz w:val="24"/>
          <w:szCs w:val="24"/>
        </w:rPr>
        <w:t xml:space="preserve">гражданской ответственности, осуществляется </w:t>
      </w:r>
      <w:proofErr w:type="gramStart"/>
      <w:r w:rsidRPr="0072622A">
        <w:rPr>
          <w:rFonts w:ascii="Book Antiqua" w:hAnsi="Book Antiqua" w:cs="Times New Roman"/>
          <w:sz w:val="24"/>
          <w:szCs w:val="24"/>
        </w:rPr>
        <w:t>контроль за</w:t>
      </w:r>
      <w:proofErr w:type="gramEnd"/>
      <w:r w:rsidRPr="0072622A">
        <w:rPr>
          <w:rFonts w:ascii="Book Antiqua" w:hAnsi="Book Antiqua" w:cs="Times New Roman"/>
          <w:sz w:val="24"/>
          <w:szCs w:val="24"/>
        </w:rPr>
        <w:t xml:space="preserve"> своевременностью их</w:t>
      </w:r>
      <w:r w:rsidR="00FA27AF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sz w:val="24"/>
          <w:szCs w:val="24"/>
        </w:rPr>
        <w:t>заключения и переоформления.</w:t>
      </w:r>
      <w:r w:rsidR="00FA27AF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sz w:val="24"/>
          <w:szCs w:val="24"/>
        </w:rPr>
        <w:t xml:space="preserve">Члены Партнерства обязаны информировать обо </w:t>
      </w:r>
      <w:r w:rsidRPr="0072622A">
        <w:rPr>
          <w:rFonts w:ascii="Book Antiqua" w:hAnsi="Book Antiqua" w:cs="Times New Roman"/>
          <w:sz w:val="24"/>
          <w:szCs w:val="24"/>
        </w:rPr>
        <w:lastRenderedPageBreak/>
        <w:t>всех случаях заключения,</w:t>
      </w:r>
      <w:r w:rsidR="00FA27AF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sz w:val="24"/>
          <w:szCs w:val="24"/>
        </w:rPr>
        <w:t>продления, изменения, досрочного прекращения договора, путем направления</w:t>
      </w:r>
      <w:r w:rsidR="00FA27AF" w:rsidRPr="0072622A">
        <w:rPr>
          <w:rFonts w:ascii="Book Antiqua" w:hAnsi="Book Antiqua" w:cs="Times New Roman"/>
          <w:sz w:val="24"/>
          <w:szCs w:val="24"/>
        </w:rPr>
        <w:t xml:space="preserve"> уведомлений. </w:t>
      </w:r>
    </w:p>
    <w:p w:rsidR="007F4014" w:rsidRPr="0072622A" w:rsidRDefault="007F4014" w:rsidP="0072622A">
      <w:pPr>
        <w:pStyle w:val="ConsPlusNonformat"/>
        <w:widowControl/>
        <w:ind w:firstLine="709"/>
        <w:jc w:val="both"/>
        <w:rPr>
          <w:rFonts w:ascii="Book Antiqua" w:eastAsiaTheme="minorHAnsi" w:hAnsi="Book Antiqua" w:cs="Times New Roman"/>
          <w:sz w:val="24"/>
          <w:szCs w:val="24"/>
          <w:lang w:eastAsia="en-US"/>
        </w:rPr>
      </w:pPr>
      <w:r w:rsidRPr="0072622A">
        <w:rPr>
          <w:rFonts w:ascii="Book Antiqua" w:eastAsiaTheme="minorHAnsi" w:hAnsi="Book Antiqua" w:cs="Times New Roman"/>
          <w:sz w:val="24"/>
          <w:szCs w:val="24"/>
          <w:lang w:eastAsia="en-US"/>
        </w:rPr>
        <w:t xml:space="preserve">В случае выявления нарушений сотрудниками Партнёрства проводились предварительные консультации с ответственными лицами по взаимодействию с СРО организаций, в отношении которых была назначена проверка, с целью устранения выявленных нарушений до проведения плановой проверки. </w:t>
      </w:r>
    </w:p>
    <w:p w:rsidR="007F4014" w:rsidRPr="0072622A" w:rsidRDefault="007F4014" w:rsidP="0072622A">
      <w:pPr>
        <w:pStyle w:val="ConsPlusNonformat"/>
        <w:widowControl/>
        <w:ind w:firstLine="709"/>
        <w:jc w:val="both"/>
        <w:rPr>
          <w:rFonts w:ascii="Book Antiqua" w:eastAsiaTheme="minorHAnsi" w:hAnsi="Book Antiqua" w:cs="Times New Roman"/>
          <w:sz w:val="24"/>
          <w:szCs w:val="24"/>
          <w:lang w:eastAsia="en-US"/>
        </w:rPr>
      </w:pPr>
      <w:r w:rsidRPr="0072622A">
        <w:rPr>
          <w:rFonts w:ascii="Book Antiqua" w:eastAsiaTheme="minorHAnsi" w:hAnsi="Book Antiqua" w:cs="Times New Roman"/>
          <w:sz w:val="24"/>
          <w:szCs w:val="24"/>
          <w:lang w:eastAsia="en-US"/>
        </w:rPr>
        <w:t>Выезд экспертов для проведения плановой проверки по местонахождению организации обусловлен необходимостью получения более точной информации о деятельности каждого члена Партнерства – наличие квалифицированного персонала. Помимо этого выездная проверка не нарушает обычного графика работы и позволяет предоставить консультацию по интересующим вопросам непосредственно руководству проверяемой организации.</w:t>
      </w:r>
    </w:p>
    <w:p w:rsidR="007F4014" w:rsidRPr="0072622A" w:rsidRDefault="007F4014" w:rsidP="0072622A">
      <w:pPr>
        <w:pStyle w:val="ConsPlusNonformat"/>
        <w:widowControl/>
        <w:ind w:firstLine="709"/>
        <w:jc w:val="both"/>
        <w:rPr>
          <w:rFonts w:ascii="Book Antiqua" w:eastAsiaTheme="minorHAnsi" w:hAnsi="Book Antiqua" w:cs="Times New Roman"/>
          <w:sz w:val="24"/>
          <w:szCs w:val="24"/>
          <w:lang w:eastAsia="en-US"/>
        </w:rPr>
      </w:pPr>
      <w:r w:rsidRPr="0072622A">
        <w:rPr>
          <w:rFonts w:ascii="Book Antiqua" w:eastAsiaTheme="minorHAnsi" w:hAnsi="Book Antiqua" w:cs="Times New Roman"/>
          <w:sz w:val="24"/>
          <w:szCs w:val="24"/>
          <w:lang w:eastAsia="en-US"/>
        </w:rPr>
        <w:t>Ведется постоянное сопровождение дел членов Партнерства, у которых в результате проведения плановых проверок были выявлены нарушения и в отношении которых назначены меры дисциплинарной ответственности с целью своевременного устранения выявленных нарушений. Сотрудниками партнерства отслеживается своевременное устранение выявленных нарушений.</w:t>
      </w:r>
    </w:p>
    <w:p w:rsidR="007F4014" w:rsidRPr="0072622A" w:rsidRDefault="007F4014" w:rsidP="0072622A">
      <w:pPr>
        <w:pStyle w:val="ConsPlusNonformat"/>
        <w:widowControl/>
        <w:ind w:firstLine="709"/>
        <w:jc w:val="both"/>
        <w:rPr>
          <w:rFonts w:ascii="Book Antiqua" w:eastAsiaTheme="minorHAnsi" w:hAnsi="Book Antiqua" w:cs="Times New Roman"/>
          <w:sz w:val="24"/>
          <w:szCs w:val="24"/>
          <w:lang w:eastAsia="en-US"/>
        </w:rPr>
      </w:pPr>
    </w:p>
    <w:p w:rsidR="007F4014" w:rsidRPr="0072622A" w:rsidRDefault="007F4014" w:rsidP="0072622A">
      <w:pPr>
        <w:pStyle w:val="ConsPlusNonformat"/>
        <w:widowControl/>
        <w:ind w:firstLine="709"/>
        <w:jc w:val="both"/>
        <w:rPr>
          <w:rFonts w:ascii="Book Antiqua" w:eastAsiaTheme="minorHAnsi" w:hAnsi="Book Antiqua" w:cs="Times New Roman"/>
          <w:b/>
          <w:sz w:val="24"/>
          <w:szCs w:val="24"/>
          <w:u w:val="single"/>
          <w:lang w:eastAsia="en-US"/>
        </w:rPr>
      </w:pPr>
      <w:r w:rsidRPr="0072622A">
        <w:rPr>
          <w:rFonts w:ascii="Book Antiqua" w:eastAsiaTheme="minorHAnsi" w:hAnsi="Book Antiqua" w:cs="Times New Roman"/>
          <w:b/>
          <w:sz w:val="24"/>
          <w:szCs w:val="24"/>
          <w:u w:val="single"/>
          <w:lang w:eastAsia="en-US"/>
        </w:rPr>
        <w:t xml:space="preserve">Дисциплинарная </w:t>
      </w:r>
      <w:r w:rsidR="00FA27AF" w:rsidRPr="0072622A">
        <w:rPr>
          <w:rFonts w:ascii="Book Antiqua" w:eastAsiaTheme="minorHAnsi" w:hAnsi="Book Antiqua" w:cs="Times New Roman"/>
          <w:b/>
          <w:sz w:val="24"/>
          <w:szCs w:val="24"/>
          <w:u w:val="single"/>
          <w:lang w:eastAsia="en-US"/>
        </w:rPr>
        <w:t>комиссия</w:t>
      </w:r>
    </w:p>
    <w:p w:rsidR="007F4014" w:rsidRPr="0072622A" w:rsidRDefault="007F4014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В отчетном периоде на расс</w:t>
      </w:r>
      <w:r w:rsidR="00FA27AF" w:rsidRPr="0072622A">
        <w:rPr>
          <w:rFonts w:ascii="Book Antiqua" w:hAnsi="Book Antiqua" w:cs="Times New Roman"/>
          <w:sz w:val="24"/>
          <w:szCs w:val="24"/>
        </w:rPr>
        <w:t>мотрении Дисциплинарной комиссии находили</w:t>
      </w:r>
      <w:r w:rsidRPr="0072622A">
        <w:rPr>
          <w:rFonts w:ascii="Book Antiqua" w:hAnsi="Book Antiqua" w:cs="Times New Roman"/>
          <w:sz w:val="24"/>
          <w:szCs w:val="24"/>
        </w:rPr>
        <w:t>сь 11 дел о нарушении членами Партнерства Требований к выдаче свидетельств о допуске и Правил контроля в области саморегулирования.</w:t>
      </w:r>
    </w:p>
    <w:p w:rsidR="007F4014" w:rsidRPr="0072622A" w:rsidRDefault="007F4014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 xml:space="preserve">В связи с прекращением организациями членства в Партнерстве на основании решения общего собрания 3 дела </w:t>
      </w:r>
      <w:r w:rsidRPr="0072622A">
        <w:rPr>
          <w:rFonts w:ascii="Book Antiqua" w:hAnsi="Book Antiqua" w:cs="Times New Roman"/>
          <w:sz w:val="24"/>
          <w:szCs w:val="24"/>
        </w:rPr>
        <w:t>были сняты</w:t>
      </w:r>
      <w:r w:rsidRPr="0072622A">
        <w:rPr>
          <w:rFonts w:ascii="Book Antiqua" w:hAnsi="Book Antiqua" w:cs="Times New Roman"/>
          <w:sz w:val="24"/>
          <w:szCs w:val="24"/>
        </w:rPr>
        <w:t xml:space="preserve"> с дисциплинарного рассмотрения. В 5 случаях выявленные нарушения членами Партнерства устранены после применения мер дисциплинарного воздействия в виде вынесения предписания, предупреждения и приостановления действия свидетельства о допуске.</w:t>
      </w:r>
    </w:p>
    <w:p w:rsidR="007F4014" w:rsidRPr="0072622A" w:rsidRDefault="007F4014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В качестве мер дисциплинарного воздействия действия свидетельств</w:t>
      </w:r>
      <w:r w:rsidRPr="0072622A">
        <w:rPr>
          <w:rFonts w:ascii="Book Antiqua" w:hAnsi="Book Antiqua" w:cs="Times New Roman"/>
          <w:sz w:val="24"/>
          <w:szCs w:val="24"/>
        </w:rPr>
        <w:t>а</w:t>
      </w:r>
      <w:r w:rsidRPr="0072622A">
        <w:rPr>
          <w:rFonts w:ascii="Book Antiqua" w:hAnsi="Book Antiqua" w:cs="Times New Roman"/>
          <w:sz w:val="24"/>
          <w:szCs w:val="24"/>
        </w:rPr>
        <w:t xml:space="preserve"> о допуске </w:t>
      </w:r>
      <w:r w:rsidRPr="0072622A">
        <w:rPr>
          <w:rFonts w:ascii="Book Antiqua" w:hAnsi="Book Antiqua" w:cs="Times New Roman"/>
          <w:sz w:val="24"/>
          <w:szCs w:val="24"/>
        </w:rPr>
        <w:t xml:space="preserve"> трех </w:t>
      </w:r>
      <w:r w:rsidRPr="0072622A">
        <w:rPr>
          <w:rFonts w:ascii="Book Antiqua" w:hAnsi="Book Antiqua" w:cs="Times New Roman"/>
          <w:sz w:val="24"/>
          <w:szCs w:val="24"/>
        </w:rPr>
        <w:t xml:space="preserve">организаций прекращены в связи с </w:t>
      </w:r>
      <w:proofErr w:type="spellStart"/>
      <w:r w:rsidRPr="0072622A">
        <w:rPr>
          <w:rFonts w:ascii="Book Antiqua" w:hAnsi="Book Antiqua" w:cs="Times New Roman"/>
          <w:sz w:val="24"/>
          <w:szCs w:val="24"/>
        </w:rPr>
        <w:t>неустранением</w:t>
      </w:r>
      <w:proofErr w:type="spellEnd"/>
      <w:r w:rsidRPr="0072622A">
        <w:rPr>
          <w:rFonts w:ascii="Book Antiqua" w:hAnsi="Book Antiqua" w:cs="Times New Roman"/>
          <w:sz w:val="24"/>
          <w:szCs w:val="24"/>
        </w:rPr>
        <w:t xml:space="preserve"> выявленных нарушений в установленный Правлением Партнерства срок.</w:t>
      </w:r>
    </w:p>
    <w:p w:rsidR="00FA27AF" w:rsidRPr="0072622A" w:rsidRDefault="00FA27AF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EB2C99" w:rsidRPr="0072622A" w:rsidRDefault="007F4014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>Иски</w:t>
      </w:r>
    </w:p>
    <w:p w:rsidR="00585825" w:rsidRDefault="00E40945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Всего</w:t>
      </w:r>
      <w:r w:rsidR="00585825" w:rsidRPr="0072622A">
        <w:rPr>
          <w:rFonts w:ascii="Book Antiqua" w:hAnsi="Book Antiqua" w:cs="Times New Roman"/>
          <w:sz w:val="24"/>
          <w:szCs w:val="24"/>
        </w:rPr>
        <w:t xml:space="preserve"> за отчетный период</w:t>
      </w:r>
      <w:r w:rsidRPr="0072622A">
        <w:rPr>
          <w:rFonts w:ascii="Book Antiqua" w:hAnsi="Book Antiqua" w:cs="Times New Roman"/>
          <w:sz w:val="24"/>
          <w:szCs w:val="24"/>
        </w:rPr>
        <w:t xml:space="preserve"> в Арбитражный суд КБР </w:t>
      </w:r>
      <w:r w:rsidR="00585825" w:rsidRPr="0072622A">
        <w:rPr>
          <w:rFonts w:ascii="Book Antiqua" w:hAnsi="Book Antiqua" w:cs="Times New Roman"/>
          <w:sz w:val="24"/>
          <w:szCs w:val="24"/>
        </w:rPr>
        <w:t xml:space="preserve">Партнерство </w:t>
      </w:r>
      <w:r w:rsidRPr="0072622A">
        <w:rPr>
          <w:rFonts w:ascii="Book Antiqua" w:hAnsi="Book Antiqua" w:cs="Times New Roman"/>
          <w:sz w:val="24"/>
          <w:szCs w:val="24"/>
        </w:rPr>
        <w:t>предъявило 17 исков о взыскании задолженности по членским взносам на общую сумму 1 564 515 рублей.</w:t>
      </w:r>
      <w:r w:rsidR="00585825" w:rsidRPr="0072622A">
        <w:rPr>
          <w:rFonts w:ascii="Book Antiqua" w:hAnsi="Book Antiqua" w:cs="Times New Roman"/>
          <w:sz w:val="24"/>
          <w:szCs w:val="24"/>
        </w:rPr>
        <w:t xml:space="preserve"> Из них размер исполненных обязательств составляет 705 515 рублей. Исполнительные листы о взыскании задолженности на сумму 859 000 рублей находятся на исполнении в Службе судебных приставов РФ.</w:t>
      </w:r>
    </w:p>
    <w:p w:rsidR="00843322" w:rsidRPr="0072622A" w:rsidRDefault="00843322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7F4014" w:rsidRPr="0072622A" w:rsidRDefault="007F4014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>Повышение квалификации</w:t>
      </w:r>
    </w:p>
    <w:p w:rsidR="00AE31F0" w:rsidRPr="0072622A" w:rsidRDefault="00E40F60" w:rsidP="0072622A">
      <w:pPr>
        <w:tabs>
          <w:tab w:val="center" w:pos="530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При содействии НОСТРОЙ, Северо-Кавказского института повышения квалификации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sz w:val="24"/>
          <w:szCs w:val="24"/>
        </w:rPr>
        <w:t>кадров строительного и жилищного комплекса</w:t>
      </w:r>
      <w:r w:rsidR="00AE31F0" w:rsidRPr="0072622A">
        <w:rPr>
          <w:rFonts w:ascii="Book Antiqua" w:hAnsi="Book Antiqua" w:cs="Times New Roman"/>
          <w:sz w:val="24"/>
          <w:szCs w:val="24"/>
        </w:rPr>
        <w:t xml:space="preserve">, Кабардино-Балкарского Аграрного Университета им. В.М. </w:t>
      </w:r>
      <w:proofErr w:type="spellStart"/>
      <w:r w:rsidR="00AE31F0" w:rsidRPr="0072622A">
        <w:rPr>
          <w:rFonts w:ascii="Book Antiqua" w:hAnsi="Book Antiqua" w:cs="Times New Roman"/>
          <w:sz w:val="24"/>
          <w:szCs w:val="24"/>
        </w:rPr>
        <w:t>Кокова</w:t>
      </w:r>
      <w:proofErr w:type="spellEnd"/>
      <w:r w:rsidRPr="0072622A">
        <w:rPr>
          <w:rFonts w:ascii="Book Antiqua" w:hAnsi="Book Antiqua" w:cs="Times New Roman"/>
          <w:sz w:val="24"/>
          <w:szCs w:val="24"/>
        </w:rPr>
        <w:t xml:space="preserve"> и нашем участии </w:t>
      </w:r>
      <w:r w:rsidR="00AE31F0" w:rsidRPr="0072622A">
        <w:rPr>
          <w:rFonts w:ascii="Book Antiqua" w:hAnsi="Book Antiqua" w:cs="Times New Roman"/>
          <w:sz w:val="24"/>
          <w:szCs w:val="24"/>
        </w:rPr>
        <w:t>были организованы следующие мероприятия:</w:t>
      </w:r>
    </w:p>
    <w:p w:rsidR="00AE31F0" w:rsidRPr="0072622A" w:rsidRDefault="00AE31F0" w:rsidP="0072622A">
      <w:pPr>
        <w:tabs>
          <w:tab w:val="center" w:pos="530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1.</w:t>
      </w:r>
      <w:r w:rsidR="00843322">
        <w:rPr>
          <w:rFonts w:ascii="Book Antiqua" w:hAnsi="Book Antiqua" w:cs="Times New Roman"/>
          <w:sz w:val="24"/>
          <w:szCs w:val="24"/>
        </w:rPr>
        <w:tab/>
      </w:r>
      <w:r w:rsidRPr="0072622A">
        <w:rPr>
          <w:rFonts w:ascii="Book Antiqua" w:hAnsi="Book Antiqua" w:cs="Times New Roman"/>
          <w:sz w:val="24"/>
          <w:szCs w:val="24"/>
        </w:rPr>
        <w:t>Д</w:t>
      </w:r>
      <w:r w:rsidR="00E40F60" w:rsidRPr="0072622A">
        <w:rPr>
          <w:rFonts w:ascii="Book Antiqua" w:hAnsi="Book Antiqua" w:cs="Times New Roman"/>
          <w:sz w:val="24"/>
          <w:szCs w:val="24"/>
        </w:rPr>
        <w:t xml:space="preserve">ля </w:t>
      </w:r>
      <w:r w:rsidR="00E40F60" w:rsidRPr="0072622A">
        <w:rPr>
          <w:rFonts w:ascii="Book Antiqua" w:hAnsi="Book Antiqua" w:cs="Times New Roman"/>
          <w:sz w:val="24"/>
          <w:szCs w:val="24"/>
        </w:rPr>
        <w:t>38</w:t>
      </w:r>
      <w:r w:rsidR="00E40F60" w:rsidRPr="0072622A">
        <w:rPr>
          <w:rFonts w:ascii="Book Antiqua" w:hAnsi="Book Antiqua" w:cs="Times New Roman"/>
          <w:sz w:val="24"/>
          <w:szCs w:val="24"/>
        </w:rPr>
        <w:t xml:space="preserve"> работников членов</w:t>
      </w:r>
      <w:r w:rsidR="00E40F60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E40F60" w:rsidRPr="0072622A">
        <w:rPr>
          <w:rFonts w:ascii="Book Antiqua" w:hAnsi="Book Antiqua" w:cs="Times New Roman"/>
          <w:sz w:val="24"/>
          <w:szCs w:val="24"/>
        </w:rPr>
        <w:t>Партн</w:t>
      </w:r>
      <w:r w:rsidR="00E40F60" w:rsidRPr="0072622A">
        <w:rPr>
          <w:rFonts w:ascii="Book Antiqua" w:hAnsi="Book Antiqua" w:cs="Times New Roman"/>
          <w:sz w:val="24"/>
          <w:szCs w:val="24"/>
        </w:rPr>
        <w:t>е</w:t>
      </w:r>
      <w:r w:rsidR="00E40F60" w:rsidRPr="0072622A">
        <w:rPr>
          <w:rFonts w:ascii="Book Antiqua" w:hAnsi="Book Antiqua" w:cs="Times New Roman"/>
          <w:sz w:val="24"/>
          <w:szCs w:val="24"/>
        </w:rPr>
        <w:t xml:space="preserve">рства был организован курс повышения квалификации по программе </w:t>
      </w:r>
      <w:r w:rsidR="00E40F60" w:rsidRPr="0072622A">
        <w:rPr>
          <w:rFonts w:ascii="Book Antiqua" w:hAnsi="Book Antiqua" w:cs="Times New Roman"/>
          <w:sz w:val="24"/>
          <w:szCs w:val="24"/>
        </w:rPr>
        <w:t>БС-16 «Безопасность строительства. Организация строительства, реконструкции и капитального ремонта».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</w:p>
    <w:p w:rsidR="00AE31F0" w:rsidRPr="0072622A" w:rsidRDefault="00AE31F0" w:rsidP="0072622A">
      <w:pPr>
        <w:tabs>
          <w:tab w:val="center" w:pos="5301"/>
        </w:tabs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lastRenderedPageBreak/>
        <w:t>2.</w:t>
      </w:r>
      <w:r w:rsidR="00843322">
        <w:rPr>
          <w:rFonts w:ascii="Book Antiqua" w:hAnsi="Book Antiqua" w:cs="Times New Roman"/>
          <w:sz w:val="24"/>
          <w:szCs w:val="24"/>
        </w:rPr>
        <w:tab/>
      </w:r>
      <w:r w:rsidRPr="0072622A">
        <w:rPr>
          <w:rFonts w:ascii="Book Antiqua" w:hAnsi="Book Antiqua" w:cs="Times New Roman"/>
          <w:sz w:val="24"/>
          <w:szCs w:val="24"/>
        </w:rPr>
        <w:t xml:space="preserve">Для </w:t>
      </w:r>
      <w:r w:rsidRPr="0072622A">
        <w:rPr>
          <w:rFonts w:ascii="Book Antiqua" w:hAnsi="Book Antiqua" w:cs="Times New Roman"/>
          <w:sz w:val="24"/>
          <w:szCs w:val="24"/>
        </w:rPr>
        <w:t xml:space="preserve">34 работников членов Партнерства </w:t>
      </w:r>
      <w:r w:rsidR="00EB2C99" w:rsidRPr="0072622A">
        <w:rPr>
          <w:rFonts w:ascii="Book Antiqua" w:hAnsi="Book Antiqua" w:cs="Times New Roman"/>
          <w:sz w:val="24"/>
          <w:szCs w:val="24"/>
        </w:rPr>
        <w:t xml:space="preserve">были организованы </w:t>
      </w:r>
      <w:r w:rsidRPr="0072622A">
        <w:rPr>
          <w:rFonts w:ascii="Book Antiqua" w:hAnsi="Book Antiqua" w:cs="Times New Roman"/>
          <w:sz w:val="24"/>
          <w:szCs w:val="24"/>
        </w:rPr>
        <w:t xml:space="preserve">курсы повышения квалификации </w:t>
      </w:r>
      <w:r w:rsidR="00EB2C99" w:rsidRPr="0072622A">
        <w:rPr>
          <w:rFonts w:ascii="Book Antiqua" w:hAnsi="Book Antiqua" w:cs="Times New Roman"/>
          <w:sz w:val="24"/>
          <w:szCs w:val="24"/>
        </w:rPr>
        <w:t>для</w:t>
      </w:r>
      <w:r w:rsidRPr="0072622A">
        <w:rPr>
          <w:rFonts w:ascii="Book Antiqua" w:hAnsi="Book Antiqua" w:cs="Times New Roman"/>
          <w:sz w:val="24"/>
          <w:szCs w:val="24"/>
        </w:rPr>
        <w:t xml:space="preserve"> рабочи</w:t>
      </w:r>
      <w:r w:rsidR="00EB2C99" w:rsidRPr="0072622A">
        <w:rPr>
          <w:rFonts w:ascii="Book Antiqua" w:hAnsi="Book Antiqua" w:cs="Times New Roman"/>
          <w:sz w:val="24"/>
          <w:szCs w:val="24"/>
        </w:rPr>
        <w:t>х</w:t>
      </w:r>
      <w:r w:rsidRPr="0072622A">
        <w:rPr>
          <w:rFonts w:ascii="Book Antiqua" w:hAnsi="Book Antiqua" w:cs="Times New Roman"/>
          <w:sz w:val="24"/>
          <w:szCs w:val="24"/>
        </w:rPr>
        <w:t xml:space="preserve"> специал</w:t>
      </w:r>
      <w:r w:rsidR="00EB2C99" w:rsidRPr="0072622A">
        <w:rPr>
          <w:rFonts w:ascii="Book Antiqua" w:hAnsi="Book Antiqua" w:cs="Times New Roman"/>
          <w:sz w:val="24"/>
          <w:szCs w:val="24"/>
        </w:rPr>
        <w:t>ис</w:t>
      </w:r>
      <w:r w:rsidRPr="0072622A">
        <w:rPr>
          <w:rFonts w:ascii="Book Antiqua" w:hAnsi="Book Antiqua" w:cs="Times New Roman"/>
          <w:sz w:val="24"/>
          <w:szCs w:val="24"/>
        </w:rPr>
        <w:t>т</w:t>
      </w:r>
      <w:r w:rsidR="00EB2C99" w:rsidRPr="0072622A">
        <w:rPr>
          <w:rFonts w:ascii="Book Antiqua" w:hAnsi="Book Antiqua" w:cs="Times New Roman"/>
          <w:sz w:val="24"/>
          <w:szCs w:val="24"/>
        </w:rPr>
        <w:t>ов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EB2C99" w:rsidRPr="0072622A">
        <w:rPr>
          <w:rFonts w:ascii="Book Antiqua" w:hAnsi="Book Antiqua" w:cs="Times New Roman"/>
          <w:sz w:val="24"/>
          <w:szCs w:val="24"/>
        </w:rPr>
        <w:t xml:space="preserve">– работников </w:t>
      </w:r>
      <w:r w:rsidRPr="0072622A">
        <w:rPr>
          <w:rFonts w:ascii="Book Antiqua" w:hAnsi="Book Antiqua" w:cs="Times New Roman"/>
          <w:sz w:val="24"/>
          <w:szCs w:val="24"/>
        </w:rPr>
        <w:t xml:space="preserve">членов Партнерства </w:t>
      </w:r>
      <w:r w:rsidRPr="0072622A">
        <w:rPr>
          <w:rFonts w:ascii="Book Antiqua" w:hAnsi="Book Antiqua" w:cs="Times New Roman"/>
          <w:sz w:val="24"/>
          <w:szCs w:val="24"/>
        </w:rPr>
        <w:t>(монтажник</w:t>
      </w:r>
      <w:r w:rsidR="00EB2C99" w:rsidRPr="0072622A">
        <w:rPr>
          <w:rFonts w:ascii="Book Antiqua" w:hAnsi="Book Antiqua" w:cs="Times New Roman"/>
          <w:sz w:val="24"/>
          <w:szCs w:val="24"/>
        </w:rPr>
        <w:t>и</w:t>
      </w:r>
      <w:r w:rsidRPr="0072622A">
        <w:rPr>
          <w:rFonts w:ascii="Book Antiqua" w:hAnsi="Book Antiqua" w:cs="Times New Roman"/>
          <w:sz w:val="24"/>
          <w:szCs w:val="24"/>
        </w:rPr>
        <w:t>, электромонтажник</w:t>
      </w:r>
      <w:r w:rsidR="00EB2C99" w:rsidRPr="0072622A">
        <w:rPr>
          <w:rFonts w:ascii="Book Antiqua" w:hAnsi="Book Antiqua" w:cs="Times New Roman"/>
          <w:sz w:val="24"/>
          <w:szCs w:val="24"/>
        </w:rPr>
        <w:t>и</w:t>
      </w:r>
      <w:r w:rsidRPr="0072622A">
        <w:rPr>
          <w:rFonts w:ascii="Book Antiqua" w:hAnsi="Book Antiqua" w:cs="Times New Roman"/>
          <w:sz w:val="24"/>
          <w:szCs w:val="24"/>
        </w:rPr>
        <w:t>, стропальщик</w:t>
      </w:r>
      <w:r w:rsidR="00EB2C99" w:rsidRPr="0072622A">
        <w:rPr>
          <w:rFonts w:ascii="Book Antiqua" w:hAnsi="Book Antiqua" w:cs="Times New Roman"/>
          <w:sz w:val="24"/>
          <w:szCs w:val="24"/>
        </w:rPr>
        <w:t>и</w:t>
      </w:r>
      <w:r w:rsidRPr="0072622A">
        <w:rPr>
          <w:rFonts w:ascii="Book Antiqua" w:hAnsi="Book Antiqua" w:cs="Times New Roman"/>
          <w:sz w:val="24"/>
          <w:szCs w:val="24"/>
        </w:rPr>
        <w:t>, каменщик</w:t>
      </w:r>
      <w:r w:rsidR="00EB2C99" w:rsidRPr="0072622A">
        <w:rPr>
          <w:rFonts w:ascii="Book Antiqua" w:hAnsi="Book Antiqua" w:cs="Times New Roman"/>
          <w:sz w:val="24"/>
          <w:szCs w:val="24"/>
        </w:rPr>
        <w:t>и</w:t>
      </w:r>
      <w:r w:rsidRPr="0072622A">
        <w:rPr>
          <w:rFonts w:ascii="Book Antiqua" w:hAnsi="Book Antiqua" w:cs="Times New Roman"/>
          <w:sz w:val="24"/>
          <w:szCs w:val="24"/>
        </w:rPr>
        <w:t>, электросварщик</w:t>
      </w:r>
      <w:r w:rsidR="00EB2C99" w:rsidRPr="0072622A">
        <w:rPr>
          <w:rFonts w:ascii="Book Antiqua" w:hAnsi="Book Antiqua" w:cs="Times New Roman"/>
          <w:sz w:val="24"/>
          <w:szCs w:val="24"/>
        </w:rPr>
        <w:t>и</w:t>
      </w:r>
      <w:r w:rsidRPr="0072622A">
        <w:rPr>
          <w:rFonts w:ascii="Book Antiqua" w:hAnsi="Book Antiqua" w:cs="Times New Roman"/>
          <w:sz w:val="24"/>
          <w:szCs w:val="24"/>
        </w:rPr>
        <w:t>, плотник</w:t>
      </w:r>
      <w:r w:rsidR="00EB2C99" w:rsidRPr="0072622A">
        <w:rPr>
          <w:rFonts w:ascii="Book Antiqua" w:hAnsi="Book Antiqua" w:cs="Times New Roman"/>
          <w:sz w:val="24"/>
          <w:szCs w:val="24"/>
        </w:rPr>
        <w:t>и</w:t>
      </w:r>
      <w:r w:rsidRPr="0072622A">
        <w:rPr>
          <w:rFonts w:ascii="Book Antiqua" w:hAnsi="Book Antiqua" w:cs="Times New Roman"/>
          <w:sz w:val="24"/>
          <w:szCs w:val="24"/>
        </w:rPr>
        <w:t>, бетонщик</w:t>
      </w:r>
      <w:r w:rsidR="00EB2C99" w:rsidRPr="0072622A">
        <w:rPr>
          <w:rFonts w:ascii="Book Antiqua" w:hAnsi="Book Antiqua" w:cs="Times New Roman"/>
          <w:sz w:val="24"/>
          <w:szCs w:val="24"/>
        </w:rPr>
        <w:t>и</w:t>
      </w:r>
      <w:r w:rsidRPr="0072622A">
        <w:rPr>
          <w:rFonts w:ascii="Book Antiqua" w:hAnsi="Book Antiqua" w:cs="Times New Roman"/>
          <w:sz w:val="24"/>
          <w:szCs w:val="24"/>
        </w:rPr>
        <w:t xml:space="preserve">). </w:t>
      </w:r>
    </w:p>
    <w:p w:rsidR="00AE31F0" w:rsidRPr="0072622A" w:rsidRDefault="00AE31F0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3.</w:t>
      </w:r>
      <w:r w:rsidR="00EB2C99" w:rsidRPr="0072622A">
        <w:rPr>
          <w:rFonts w:ascii="Book Antiqua" w:hAnsi="Book Antiqua" w:cs="Times New Roman"/>
          <w:sz w:val="24"/>
          <w:szCs w:val="24"/>
        </w:rPr>
        <w:t>Д</w:t>
      </w:r>
      <w:r w:rsidRPr="0072622A">
        <w:rPr>
          <w:rFonts w:ascii="Book Antiqua" w:hAnsi="Book Antiqua" w:cs="Times New Roman"/>
          <w:sz w:val="24"/>
          <w:szCs w:val="24"/>
        </w:rPr>
        <w:t xml:space="preserve">ля 30 </w:t>
      </w:r>
      <w:r w:rsidRPr="0072622A">
        <w:rPr>
          <w:rFonts w:ascii="Book Antiqua" w:hAnsi="Book Antiqua" w:cs="Times New Roman"/>
          <w:sz w:val="24"/>
          <w:szCs w:val="24"/>
        </w:rPr>
        <w:t>работников членов Партнерства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EB2C99" w:rsidRPr="0072622A">
        <w:rPr>
          <w:rFonts w:ascii="Book Antiqua" w:hAnsi="Book Antiqua" w:cs="Times New Roman"/>
          <w:sz w:val="24"/>
          <w:szCs w:val="24"/>
        </w:rPr>
        <w:t xml:space="preserve">был организован </w:t>
      </w:r>
      <w:r w:rsidRPr="0072622A">
        <w:rPr>
          <w:rFonts w:ascii="Book Antiqua" w:hAnsi="Book Antiqua" w:cs="Times New Roman"/>
          <w:sz w:val="24"/>
          <w:szCs w:val="24"/>
        </w:rPr>
        <w:t>курс повышения квалификации по программе:</w:t>
      </w:r>
      <w:r w:rsidR="00EB2C99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sz w:val="24"/>
          <w:szCs w:val="24"/>
        </w:rPr>
        <w:t>«Исполнительная документация  в строительстве»</w:t>
      </w:r>
      <w:r w:rsidR="00EB2C99" w:rsidRPr="0072622A">
        <w:rPr>
          <w:rFonts w:ascii="Book Antiqua" w:hAnsi="Book Antiqua" w:cs="Times New Roman"/>
          <w:sz w:val="24"/>
          <w:szCs w:val="24"/>
        </w:rPr>
        <w:t>.</w:t>
      </w:r>
    </w:p>
    <w:p w:rsidR="00EB2C99" w:rsidRPr="0072622A" w:rsidRDefault="00EB2C99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4.</w:t>
      </w:r>
      <w:r w:rsidRPr="0072622A">
        <w:rPr>
          <w:rFonts w:ascii="Book Antiqua" w:hAnsi="Book Antiqua" w:cs="Times New Roman"/>
          <w:sz w:val="24"/>
          <w:szCs w:val="24"/>
        </w:rPr>
        <w:t>Для 30 работников членов Партнерства был организован курс повышения квалификации по программе: «Охрана труда в строительстве»</w:t>
      </w:r>
      <w:r w:rsidRPr="0072622A">
        <w:rPr>
          <w:rFonts w:ascii="Book Antiqua" w:hAnsi="Book Antiqua" w:cs="Times New Roman"/>
          <w:sz w:val="24"/>
          <w:szCs w:val="24"/>
        </w:rPr>
        <w:t>.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</w:p>
    <w:p w:rsidR="00EB2C99" w:rsidRPr="0072622A" w:rsidRDefault="00EB2C99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5.</w:t>
      </w:r>
      <w:r w:rsidRPr="0072622A">
        <w:rPr>
          <w:rFonts w:ascii="Book Antiqua" w:hAnsi="Book Antiqua" w:cs="Times New Roman"/>
          <w:sz w:val="24"/>
          <w:szCs w:val="24"/>
        </w:rPr>
        <w:t>Для 30 работников членов Партнерства был организован курс повышения квалификации по программе: «ФЗ-44</w:t>
      </w:r>
      <w:proofErr w:type="gramStart"/>
      <w:r w:rsidRPr="0072622A">
        <w:rPr>
          <w:rFonts w:ascii="Book Antiqua" w:hAnsi="Book Antiqua" w:cs="Times New Roman"/>
          <w:sz w:val="24"/>
          <w:szCs w:val="24"/>
        </w:rPr>
        <w:t xml:space="preserve"> О</w:t>
      </w:r>
      <w:proofErr w:type="gramEnd"/>
      <w:r w:rsidRPr="0072622A">
        <w:rPr>
          <w:rFonts w:ascii="Book Antiqua" w:hAnsi="Book Antiqua" w:cs="Times New Roman"/>
          <w:sz w:val="24"/>
          <w:szCs w:val="24"/>
        </w:rPr>
        <w:t xml:space="preserve"> контрактной системе закупок товаров, работ, услуг для обеспечения государственных и муниципальных нужд»</w:t>
      </w:r>
      <w:r w:rsidRPr="0072622A">
        <w:rPr>
          <w:rFonts w:ascii="Book Antiqua" w:hAnsi="Book Antiqua" w:cs="Times New Roman"/>
          <w:sz w:val="24"/>
          <w:szCs w:val="24"/>
        </w:rPr>
        <w:t>.</w:t>
      </w:r>
    </w:p>
    <w:p w:rsidR="00E40F60" w:rsidRPr="0072622A" w:rsidRDefault="00EB2C99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 xml:space="preserve">6. </w:t>
      </w:r>
      <w:r w:rsidR="00E40F60" w:rsidRPr="0072622A">
        <w:rPr>
          <w:rFonts w:ascii="Book Antiqua" w:hAnsi="Book Antiqua" w:cs="Times New Roman"/>
          <w:sz w:val="24"/>
          <w:szCs w:val="24"/>
        </w:rPr>
        <w:t>Работниками исполнительного органа также пройдено обучение на курсах подготовки экспертов</w:t>
      </w:r>
      <w:r w:rsidR="00E40F60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E40F60" w:rsidRPr="0072622A">
        <w:rPr>
          <w:rFonts w:ascii="Book Antiqua" w:hAnsi="Book Antiqua" w:cs="Times New Roman"/>
          <w:sz w:val="24"/>
          <w:szCs w:val="24"/>
        </w:rPr>
        <w:t>саморегулирования и получены соответствующие свидетельства.</w:t>
      </w:r>
    </w:p>
    <w:p w:rsidR="00E40F60" w:rsidRPr="0072622A" w:rsidRDefault="00E40F60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506202" w:rsidRPr="0072622A" w:rsidRDefault="00E40945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>Участие в Экспертном</w:t>
      </w:r>
      <w:r w:rsidR="007F4014" w:rsidRPr="0072622A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>Совете</w:t>
      </w:r>
      <w:r w:rsidR="007F4014" w:rsidRPr="0072622A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  <w:r w:rsidR="00506202" w:rsidRPr="0072622A">
        <w:rPr>
          <w:rFonts w:ascii="Book Antiqua" w:hAnsi="Book Antiqua" w:cs="Times New Roman"/>
          <w:b/>
          <w:sz w:val="24"/>
          <w:szCs w:val="24"/>
          <w:u w:val="single"/>
        </w:rPr>
        <w:t>по вопросам совершенствования законодательства</w:t>
      </w:r>
      <w:r w:rsidR="00506202" w:rsidRPr="0072622A">
        <w:rPr>
          <w:rFonts w:ascii="Book Antiqua" w:hAnsi="Book Antiqua" w:cs="Times New Roman"/>
          <w:b/>
          <w:sz w:val="24"/>
          <w:szCs w:val="24"/>
          <w:u w:val="single"/>
        </w:rPr>
        <w:t xml:space="preserve"> </w:t>
      </w:r>
    </w:p>
    <w:p w:rsidR="00E40945" w:rsidRPr="0072622A" w:rsidRDefault="00506202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 xml:space="preserve">Представитель </w:t>
      </w:r>
      <w:r w:rsidRPr="0072622A">
        <w:rPr>
          <w:rFonts w:ascii="Book Antiqua" w:hAnsi="Book Antiqua" w:cs="Times New Roman"/>
          <w:sz w:val="24"/>
          <w:szCs w:val="24"/>
        </w:rPr>
        <w:t xml:space="preserve">Партнерства </w:t>
      </w:r>
      <w:r w:rsidRPr="0072622A">
        <w:rPr>
          <w:rFonts w:ascii="Book Antiqua" w:hAnsi="Book Antiqua" w:cs="Times New Roman"/>
          <w:sz w:val="24"/>
          <w:szCs w:val="24"/>
        </w:rPr>
        <w:t xml:space="preserve">является одним из </w:t>
      </w:r>
      <w:r w:rsidRPr="0072622A">
        <w:rPr>
          <w:rFonts w:ascii="Book Antiqua" w:hAnsi="Book Antiqua" w:cs="Times New Roman"/>
          <w:sz w:val="24"/>
          <w:szCs w:val="24"/>
        </w:rPr>
        <w:t xml:space="preserve">двух представителей от Северо-Кавказского </w:t>
      </w:r>
      <w:r w:rsidRPr="0072622A">
        <w:rPr>
          <w:rFonts w:ascii="Book Antiqua" w:hAnsi="Book Antiqua" w:cs="Times New Roman"/>
          <w:sz w:val="24"/>
          <w:szCs w:val="24"/>
        </w:rPr>
        <w:t>Федерального округа, входящих в состав Экспертного совета по вопросам совершенствования законодательства при Национальном объединении строителей (Совет с</w:t>
      </w:r>
      <w:r w:rsidRPr="0072622A">
        <w:rPr>
          <w:rFonts w:ascii="Book Antiqua" w:hAnsi="Book Antiqua" w:cs="Times New Roman"/>
          <w:sz w:val="24"/>
          <w:szCs w:val="24"/>
        </w:rPr>
        <w:t>остоит из 26</w:t>
      </w:r>
      <w:r w:rsidRPr="0072622A">
        <w:rPr>
          <w:rFonts w:ascii="Book Antiqua" w:hAnsi="Book Antiqua" w:cs="Times New Roman"/>
          <w:sz w:val="24"/>
          <w:szCs w:val="24"/>
        </w:rPr>
        <w:t xml:space="preserve"> человек от всех федеральных округов). Экспертным Советом с </w:t>
      </w:r>
      <w:r w:rsidRPr="0072622A">
        <w:rPr>
          <w:rFonts w:ascii="Book Antiqua" w:hAnsi="Book Antiqua" w:cs="Times New Roman"/>
          <w:sz w:val="24"/>
          <w:szCs w:val="24"/>
        </w:rPr>
        <w:t>течени</w:t>
      </w:r>
      <w:r w:rsidR="00E40945" w:rsidRPr="0072622A">
        <w:rPr>
          <w:rFonts w:ascii="Book Antiqua" w:hAnsi="Book Antiqua" w:cs="Times New Roman"/>
          <w:sz w:val="24"/>
          <w:szCs w:val="24"/>
        </w:rPr>
        <w:t>е</w:t>
      </w:r>
      <w:r w:rsidRPr="0072622A">
        <w:rPr>
          <w:rFonts w:ascii="Book Antiqua" w:hAnsi="Book Antiqua" w:cs="Times New Roman"/>
          <w:sz w:val="24"/>
          <w:szCs w:val="24"/>
        </w:rPr>
        <w:t xml:space="preserve"> 2014 года проведено 9 заседаний, рассмотрен 51</w:t>
      </w:r>
      <w:r w:rsidRPr="0072622A">
        <w:rPr>
          <w:rFonts w:ascii="Book Antiqua" w:hAnsi="Book Antiqua" w:cs="Times New Roman"/>
          <w:sz w:val="24"/>
          <w:szCs w:val="24"/>
        </w:rPr>
        <w:t xml:space="preserve"> проект</w:t>
      </w:r>
      <w:r w:rsidRPr="0072622A">
        <w:rPr>
          <w:rFonts w:ascii="Book Antiqua" w:hAnsi="Book Antiqua" w:cs="Times New Roman"/>
          <w:sz w:val="24"/>
          <w:szCs w:val="24"/>
        </w:rPr>
        <w:t xml:space="preserve"> нормативно-правовых актов</w:t>
      </w:r>
      <w:r w:rsidRPr="0072622A">
        <w:rPr>
          <w:rFonts w:ascii="Book Antiqua" w:hAnsi="Book Antiqua" w:cs="Times New Roman"/>
          <w:sz w:val="24"/>
          <w:szCs w:val="24"/>
        </w:rPr>
        <w:t xml:space="preserve">, подготовлено </w:t>
      </w:r>
      <w:r w:rsidRPr="0072622A">
        <w:rPr>
          <w:rFonts w:ascii="Book Antiqua" w:hAnsi="Book Antiqua" w:cs="Times New Roman"/>
          <w:sz w:val="24"/>
          <w:szCs w:val="24"/>
        </w:rPr>
        <w:t>39</w:t>
      </w:r>
      <w:r w:rsidRPr="0072622A">
        <w:rPr>
          <w:rFonts w:ascii="Book Antiqua" w:hAnsi="Book Antiqua" w:cs="Times New Roman"/>
          <w:sz w:val="24"/>
          <w:szCs w:val="24"/>
        </w:rPr>
        <w:t xml:space="preserve"> экспертное заключение</w:t>
      </w:r>
      <w:r w:rsidRPr="0072622A">
        <w:rPr>
          <w:rFonts w:ascii="Book Antiqua" w:hAnsi="Book Antiqua" w:cs="Times New Roman"/>
          <w:sz w:val="24"/>
          <w:szCs w:val="24"/>
        </w:rPr>
        <w:t>. Учтено мнение Экспертного Совета в отношении 10 нормативно-правовых актов рассмотренных в 2014 году</w:t>
      </w:r>
      <w:r w:rsidR="00E40945" w:rsidRPr="0072622A">
        <w:rPr>
          <w:rFonts w:ascii="Book Antiqua" w:hAnsi="Book Antiqua" w:cs="Times New Roman"/>
          <w:sz w:val="24"/>
          <w:szCs w:val="24"/>
        </w:rPr>
        <w:t>. В отношении 1 экспертного заключения мнение Экспертного Совета не было поддержано и не включен</w:t>
      </w:r>
      <w:r w:rsidR="00843322">
        <w:rPr>
          <w:rFonts w:ascii="Book Antiqua" w:hAnsi="Book Antiqua" w:cs="Times New Roman"/>
          <w:sz w:val="24"/>
          <w:szCs w:val="24"/>
        </w:rPr>
        <w:t>о</w:t>
      </w:r>
      <w:r w:rsidR="00E40945" w:rsidRPr="0072622A">
        <w:rPr>
          <w:rFonts w:ascii="Book Antiqua" w:hAnsi="Book Antiqua" w:cs="Times New Roman"/>
          <w:sz w:val="24"/>
          <w:szCs w:val="24"/>
        </w:rPr>
        <w:t xml:space="preserve"> в законопроект. 17 нормативно-правовых актов, в отношении которых подготовлены и утверждены экспертные заключения, еще находятся в стадии обсуждения. </w:t>
      </w:r>
    </w:p>
    <w:p w:rsidR="00E40945" w:rsidRPr="0072622A" w:rsidRDefault="00E40945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7F4014" w:rsidRPr="0072622A" w:rsidRDefault="007F4014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 xml:space="preserve">Общее собрание </w:t>
      </w:r>
    </w:p>
    <w:p w:rsidR="007F4014" w:rsidRPr="0072622A" w:rsidRDefault="00EB2C99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 xml:space="preserve">28.05.2014 года было проведено общее собрание членов Партнерства, на котором были рассмотрены вопросы текущей деятельности, были внесены корректировки во внутренние документы с целью приведения их в соответствие с изменениями в законодательстве. </w:t>
      </w:r>
      <w:r w:rsidR="00F42E80" w:rsidRPr="0072622A">
        <w:rPr>
          <w:rFonts w:ascii="Book Antiqua" w:hAnsi="Book Antiqua" w:cs="Times New Roman"/>
          <w:sz w:val="24"/>
          <w:szCs w:val="24"/>
        </w:rPr>
        <w:t>Общее количество участников общего собрания составляло 109 представителей членов Партнерства.</w:t>
      </w:r>
    </w:p>
    <w:p w:rsidR="00EB2C99" w:rsidRPr="0072622A" w:rsidRDefault="00EB2C99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7F4014" w:rsidRPr="0072622A" w:rsidRDefault="0072622A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>Участие во Всероссийских съездах</w:t>
      </w:r>
      <w:r w:rsidRPr="0072622A">
        <w:rPr>
          <w:rFonts w:ascii="Book Antiqua" w:hAnsi="Book Antiqua" w:cs="Times New Roman"/>
          <w:b/>
          <w:sz w:val="24"/>
          <w:szCs w:val="24"/>
          <w:u w:val="single"/>
        </w:rPr>
        <w:t xml:space="preserve">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</w:p>
    <w:p w:rsidR="0072622A" w:rsidRPr="0072622A" w:rsidRDefault="0072622A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72622A" w:rsidRPr="0072622A" w:rsidRDefault="001D5A93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В 2014 году были созваны 8 и 9</w:t>
      </w:r>
      <w:r w:rsidR="0072622A" w:rsidRPr="0072622A">
        <w:rPr>
          <w:rFonts w:ascii="Book Antiqua" w:hAnsi="Book Antiqua" w:cs="Times New Roman"/>
          <w:sz w:val="24"/>
          <w:szCs w:val="24"/>
        </w:rPr>
        <w:t xml:space="preserve"> Всероссийские съезды</w:t>
      </w:r>
      <w:r w:rsidR="0072622A" w:rsidRPr="0072622A">
        <w:rPr>
          <w:rFonts w:ascii="Book Antiqua" w:hAnsi="Book Antiqua" w:cs="Times New Roman"/>
          <w:sz w:val="24"/>
          <w:szCs w:val="24"/>
        </w:rPr>
        <w:t xml:space="preserve"> саморегулируемых организаций, основанных на членстве лиц,</w:t>
      </w:r>
      <w:r w:rsidR="0072622A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72622A" w:rsidRPr="0072622A">
        <w:rPr>
          <w:rFonts w:ascii="Book Antiqua" w:hAnsi="Book Antiqua" w:cs="Times New Roman"/>
          <w:sz w:val="24"/>
          <w:szCs w:val="24"/>
        </w:rPr>
        <w:t>осуществляющих строительство, реконструкцию, капитальный ремонт</w:t>
      </w:r>
      <w:r w:rsidR="0072622A"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="0072622A" w:rsidRPr="0072622A">
        <w:rPr>
          <w:rFonts w:ascii="Book Antiqua" w:hAnsi="Book Antiqua" w:cs="Times New Roman"/>
          <w:sz w:val="24"/>
          <w:szCs w:val="24"/>
        </w:rPr>
        <w:t>объектов капитального строительства</w:t>
      </w:r>
      <w:r w:rsidR="0072622A" w:rsidRPr="0072622A">
        <w:rPr>
          <w:rFonts w:ascii="Book Antiqua" w:hAnsi="Book Antiqua" w:cs="Times New Roman"/>
          <w:sz w:val="24"/>
          <w:szCs w:val="24"/>
        </w:rPr>
        <w:t>.</w:t>
      </w:r>
    </w:p>
    <w:p w:rsidR="0072622A" w:rsidRPr="0072622A" w:rsidRDefault="0072622A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На обоих съездах и</w:t>
      </w:r>
      <w:r w:rsidR="001D5A93" w:rsidRPr="0072622A">
        <w:rPr>
          <w:rFonts w:ascii="Book Antiqua" w:hAnsi="Book Antiqua" w:cs="Times New Roman"/>
          <w:sz w:val="24"/>
          <w:szCs w:val="24"/>
        </w:rPr>
        <w:t xml:space="preserve"> 25.04.2014 года</w:t>
      </w:r>
      <w:r w:rsidRPr="0072622A">
        <w:rPr>
          <w:rFonts w:ascii="Book Antiqua" w:hAnsi="Book Antiqua" w:cs="Times New Roman"/>
          <w:sz w:val="24"/>
          <w:szCs w:val="24"/>
        </w:rPr>
        <w:t xml:space="preserve">, и 18.11.2014 года было обеспечено личное участие представителей </w:t>
      </w:r>
      <w:r w:rsidRPr="0072622A">
        <w:rPr>
          <w:rFonts w:ascii="Book Antiqua" w:hAnsi="Book Antiqua" w:cs="Times New Roman"/>
          <w:sz w:val="24"/>
          <w:szCs w:val="24"/>
        </w:rPr>
        <w:t>нашего</w:t>
      </w:r>
      <w:r w:rsidRPr="0072622A">
        <w:rPr>
          <w:rFonts w:ascii="Book Antiqua" w:hAnsi="Book Antiqua" w:cs="Times New Roman"/>
          <w:sz w:val="24"/>
          <w:szCs w:val="24"/>
        </w:rPr>
        <w:t xml:space="preserve"> Партнерства. </w:t>
      </w:r>
    </w:p>
    <w:p w:rsidR="0072622A" w:rsidRPr="0072622A" w:rsidRDefault="0072622A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843322" w:rsidRDefault="00843322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120C31" w:rsidRPr="0072622A" w:rsidRDefault="00120C31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bookmarkStart w:id="0" w:name="_GoBack"/>
      <w:bookmarkEnd w:id="0"/>
      <w:r w:rsidRPr="0072622A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Заключение</w:t>
      </w:r>
    </w:p>
    <w:p w:rsidR="0085544A" w:rsidRPr="0072622A" w:rsidRDefault="0085544A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Партнерство в 2014 году отметило пятилетие</w:t>
      </w:r>
      <w:r w:rsidRPr="0072622A">
        <w:rPr>
          <w:rFonts w:ascii="Book Antiqua" w:hAnsi="Book Antiqua" w:cs="Times New Roman"/>
          <w:sz w:val="24"/>
          <w:szCs w:val="24"/>
        </w:rPr>
        <w:t xml:space="preserve"> </w:t>
      </w:r>
      <w:r w:rsidRPr="0072622A">
        <w:rPr>
          <w:rFonts w:ascii="Book Antiqua" w:hAnsi="Book Antiqua" w:cs="Times New Roman"/>
          <w:sz w:val="24"/>
          <w:szCs w:val="24"/>
        </w:rPr>
        <w:t xml:space="preserve">со дня своего создания. Отметило в соответствии с корпоративными ценностями – деловито и без лишнего пафоса. Тем не менее, это совсем не означает, что у нас нет оснований для гордости – напротив, в активе нашего партнерства найдется немало объективных достижений. </w:t>
      </w:r>
    </w:p>
    <w:p w:rsidR="0085544A" w:rsidRPr="0072622A" w:rsidRDefault="0085544A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Мы по праву можем гордиться, что за пять лет ни один из наших членов Партнерства не стал виновником серьезных происшествий, повлекших человеческие жертвы или значительный материальный ущерб. Член</w:t>
      </w:r>
      <w:r w:rsidR="00351CF3" w:rsidRPr="0072622A">
        <w:rPr>
          <w:rFonts w:ascii="Book Antiqua" w:hAnsi="Book Antiqua" w:cs="Times New Roman"/>
          <w:sz w:val="24"/>
          <w:szCs w:val="24"/>
        </w:rPr>
        <w:t>ы</w:t>
      </w:r>
      <w:r w:rsidRPr="0072622A">
        <w:rPr>
          <w:rFonts w:ascii="Book Antiqua" w:hAnsi="Book Antiqua" w:cs="Times New Roman"/>
          <w:sz w:val="24"/>
          <w:szCs w:val="24"/>
        </w:rPr>
        <w:t xml:space="preserve"> Партнерства не оказались участниками сомнительных</w:t>
      </w:r>
      <w:r w:rsidR="00351CF3" w:rsidRPr="0072622A">
        <w:rPr>
          <w:rFonts w:ascii="Book Antiqua" w:hAnsi="Book Antiqua" w:cs="Times New Roman"/>
          <w:sz w:val="24"/>
          <w:szCs w:val="24"/>
        </w:rPr>
        <w:t>,</w:t>
      </w:r>
      <w:r w:rsidRPr="0072622A">
        <w:rPr>
          <w:rFonts w:ascii="Book Antiqua" w:hAnsi="Book Antiqua" w:cs="Times New Roman"/>
          <w:sz w:val="24"/>
          <w:szCs w:val="24"/>
        </w:rPr>
        <w:t xml:space="preserve"> с точки зрения законодательства</w:t>
      </w:r>
      <w:r w:rsidR="00351CF3" w:rsidRPr="0072622A">
        <w:rPr>
          <w:rFonts w:ascii="Book Antiqua" w:hAnsi="Book Antiqua" w:cs="Times New Roman"/>
          <w:sz w:val="24"/>
          <w:szCs w:val="24"/>
        </w:rPr>
        <w:t>, биз</w:t>
      </w:r>
      <w:r w:rsidRPr="0072622A">
        <w:rPr>
          <w:rFonts w:ascii="Book Antiqua" w:hAnsi="Book Antiqua" w:cs="Times New Roman"/>
          <w:sz w:val="24"/>
          <w:szCs w:val="24"/>
        </w:rPr>
        <w:t>нес-процессов</w:t>
      </w:r>
      <w:r w:rsidR="00351CF3" w:rsidRPr="0072622A">
        <w:rPr>
          <w:rFonts w:ascii="Book Antiqua" w:hAnsi="Book Antiqua" w:cs="Times New Roman"/>
          <w:sz w:val="24"/>
          <w:szCs w:val="24"/>
        </w:rPr>
        <w:t xml:space="preserve">. </w:t>
      </w:r>
    </w:p>
    <w:p w:rsidR="00351CF3" w:rsidRPr="0072622A" w:rsidRDefault="00351CF3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 xml:space="preserve">При этом и само Партнерство прикладывает максимум усилий для того, чтобы упрочивать свое положение как независимой исключительно добросовестной саморегулируемой организации, сохраняющей традиционно высокий, но при этом реалистичный уровень требований к своим членам. </w:t>
      </w:r>
    </w:p>
    <w:p w:rsidR="002A4AEA" w:rsidRPr="0072622A" w:rsidRDefault="002A4AEA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Надежность, постоянство, предсказуемость, прозрачность – таковые ключевые черты нашей стратегии, которая остается и будет оставаться неизменной.</w:t>
      </w:r>
    </w:p>
    <w:p w:rsidR="002A4AEA" w:rsidRPr="0072622A" w:rsidRDefault="002A4AEA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>При этом мы отдаем себе отчет в том, что экономика не стоит на месте, меняется рыночная кон</w:t>
      </w:r>
      <w:r w:rsidR="007070D4" w:rsidRPr="0072622A">
        <w:rPr>
          <w:rFonts w:ascii="Book Antiqua" w:hAnsi="Book Antiqua" w:cs="Times New Roman"/>
          <w:sz w:val="24"/>
          <w:szCs w:val="24"/>
        </w:rPr>
        <w:t>ъ</w:t>
      </w:r>
      <w:r w:rsidRPr="0072622A">
        <w:rPr>
          <w:rFonts w:ascii="Book Antiqua" w:hAnsi="Book Antiqua" w:cs="Times New Roman"/>
          <w:sz w:val="24"/>
          <w:szCs w:val="24"/>
        </w:rPr>
        <w:t>ю</w:t>
      </w:r>
      <w:r w:rsidR="007070D4" w:rsidRPr="0072622A">
        <w:rPr>
          <w:rFonts w:ascii="Book Antiqua" w:hAnsi="Book Antiqua" w:cs="Times New Roman"/>
          <w:sz w:val="24"/>
          <w:szCs w:val="24"/>
        </w:rPr>
        <w:t>н</w:t>
      </w:r>
      <w:r w:rsidRPr="0072622A">
        <w:rPr>
          <w:rFonts w:ascii="Book Antiqua" w:hAnsi="Book Antiqua" w:cs="Times New Roman"/>
          <w:sz w:val="24"/>
          <w:szCs w:val="24"/>
        </w:rPr>
        <w:t>ктура, причем далеко не в том направлении, в каком хотелось бы строительному сообществу в целом.</w:t>
      </w:r>
    </w:p>
    <w:p w:rsidR="007070D4" w:rsidRPr="0072622A" w:rsidRDefault="007070D4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 xml:space="preserve">По многим признакам начало новой «пятилетки» совпадает с той ситуацией, что была в 2009 году при переходе на саморегулирование – во всяком случае, по прогнозам большинства экспертов рынок будет оставаться нестабильным. </w:t>
      </w:r>
    </w:p>
    <w:p w:rsidR="007070D4" w:rsidRPr="0072622A" w:rsidRDefault="007070D4" w:rsidP="0072622A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2622A">
        <w:rPr>
          <w:rFonts w:ascii="Book Antiqua" w:hAnsi="Book Antiqua" w:cs="Times New Roman"/>
          <w:sz w:val="24"/>
          <w:szCs w:val="24"/>
        </w:rPr>
        <w:t xml:space="preserve">В глобальном смысле наиболее эффективным способом противодействия любому спаду, любой нестабильности остаются опора на надежного партнера, доверие, инициатива и готовность к сотрудничеству. В конечном счете, трудности хороши тем, что, во-первых, проходят, во-вторых – создают фундамент для развития и роста. Мы продолжаем наше дело, сохраняя уверенность и управляя переменами. </w:t>
      </w:r>
    </w:p>
    <w:p w:rsidR="002A4AEA" w:rsidRPr="007070D4" w:rsidRDefault="002A4AEA" w:rsidP="00EB2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44A" w:rsidRPr="0085544A" w:rsidRDefault="0085544A" w:rsidP="00707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544A" w:rsidRPr="008554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1E" w:rsidRDefault="000D701E" w:rsidP="0072622A">
      <w:pPr>
        <w:spacing w:after="0" w:line="240" w:lineRule="auto"/>
      </w:pPr>
      <w:r>
        <w:separator/>
      </w:r>
    </w:p>
  </w:endnote>
  <w:endnote w:type="continuationSeparator" w:id="0">
    <w:p w:rsidR="000D701E" w:rsidRDefault="000D701E" w:rsidP="0072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291775"/>
      <w:docPartObj>
        <w:docPartGallery w:val="Page Numbers (Bottom of Page)"/>
        <w:docPartUnique/>
      </w:docPartObj>
    </w:sdtPr>
    <w:sdtContent>
      <w:p w:rsidR="0072622A" w:rsidRDefault="007262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22">
          <w:rPr>
            <w:noProof/>
          </w:rPr>
          <w:t>1</w:t>
        </w:r>
        <w:r>
          <w:fldChar w:fldCharType="end"/>
        </w:r>
      </w:p>
    </w:sdtContent>
  </w:sdt>
  <w:p w:rsidR="0072622A" w:rsidRDefault="007262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1E" w:rsidRDefault="000D701E" w:rsidP="0072622A">
      <w:pPr>
        <w:spacing w:after="0" w:line="240" w:lineRule="auto"/>
      </w:pPr>
      <w:r>
        <w:separator/>
      </w:r>
    </w:p>
  </w:footnote>
  <w:footnote w:type="continuationSeparator" w:id="0">
    <w:p w:rsidR="000D701E" w:rsidRDefault="000D701E" w:rsidP="00726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4A"/>
    <w:rsid w:val="000D701E"/>
    <w:rsid w:val="00120C31"/>
    <w:rsid w:val="001B415C"/>
    <w:rsid w:val="001D5A93"/>
    <w:rsid w:val="002A4AEA"/>
    <w:rsid w:val="00351CF3"/>
    <w:rsid w:val="003C503F"/>
    <w:rsid w:val="003F198D"/>
    <w:rsid w:val="00506202"/>
    <w:rsid w:val="00585825"/>
    <w:rsid w:val="005C706F"/>
    <w:rsid w:val="007070D4"/>
    <w:rsid w:val="0072622A"/>
    <w:rsid w:val="007F4014"/>
    <w:rsid w:val="00843322"/>
    <w:rsid w:val="0085544A"/>
    <w:rsid w:val="00A63C4B"/>
    <w:rsid w:val="00AE31F0"/>
    <w:rsid w:val="00B84B28"/>
    <w:rsid w:val="00BB2A78"/>
    <w:rsid w:val="00D92C00"/>
    <w:rsid w:val="00DD025B"/>
    <w:rsid w:val="00E40945"/>
    <w:rsid w:val="00E40F60"/>
    <w:rsid w:val="00EB2C99"/>
    <w:rsid w:val="00F42E80"/>
    <w:rsid w:val="00F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0C31"/>
  </w:style>
  <w:style w:type="character" w:styleId="a4">
    <w:name w:val="Hyperlink"/>
    <w:basedOn w:val="a0"/>
    <w:uiPriority w:val="99"/>
    <w:semiHidden/>
    <w:unhideWhenUsed/>
    <w:rsid w:val="00120C31"/>
    <w:rPr>
      <w:color w:val="0000FF"/>
      <w:u w:val="single"/>
    </w:rPr>
  </w:style>
  <w:style w:type="paragraph" w:customStyle="1" w:styleId="ConsPlusNonformat">
    <w:name w:val="ConsPlusNonformat"/>
    <w:rsid w:val="007F4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2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22A"/>
  </w:style>
  <w:style w:type="paragraph" w:styleId="a9">
    <w:name w:val="footer"/>
    <w:basedOn w:val="a"/>
    <w:link w:val="aa"/>
    <w:uiPriority w:val="99"/>
    <w:unhideWhenUsed/>
    <w:rsid w:val="0072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0C31"/>
  </w:style>
  <w:style w:type="character" w:styleId="a4">
    <w:name w:val="Hyperlink"/>
    <w:basedOn w:val="a0"/>
    <w:uiPriority w:val="99"/>
    <w:semiHidden/>
    <w:unhideWhenUsed/>
    <w:rsid w:val="00120C31"/>
    <w:rPr>
      <w:color w:val="0000FF"/>
      <w:u w:val="single"/>
    </w:rPr>
  </w:style>
  <w:style w:type="paragraph" w:customStyle="1" w:styleId="ConsPlusNonformat">
    <w:name w:val="ConsPlusNonformat"/>
    <w:rsid w:val="007F40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2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22A"/>
  </w:style>
  <w:style w:type="paragraph" w:styleId="a9">
    <w:name w:val="footer"/>
    <w:basedOn w:val="a"/>
    <w:link w:val="aa"/>
    <w:uiPriority w:val="99"/>
    <w:unhideWhenUsed/>
    <w:rsid w:val="0072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2</cp:revision>
  <cp:lastPrinted>2015-04-24T12:50:00Z</cp:lastPrinted>
  <dcterms:created xsi:type="dcterms:W3CDTF">2015-04-24T08:19:00Z</dcterms:created>
  <dcterms:modified xsi:type="dcterms:W3CDTF">2015-04-24T12:50:00Z</dcterms:modified>
</cp:coreProperties>
</file>